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8D42" w14:textId="77777777" w:rsidR="00C3418A" w:rsidRPr="0046496A" w:rsidRDefault="00730020" w:rsidP="00C3418A">
      <w:pPr>
        <w:rPr>
          <w:b/>
          <w:i/>
        </w:rPr>
      </w:pPr>
      <w:r w:rsidRPr="00F954EB">
        <w:rPr>
          <w:b/>
        </w:rPr>
        <w:t xml:space="preserve">Reclassification </w:t>
      </w:r>
      <w:r w:rsidR="00734E75" w:rsidRPr="00F954EB">
        <w:rPr>
          <w:b/>
        </w:rPr>
        <w:t xml:space="preserve">of the West Indian Manatee </w:t>
      </w:r>
      <w:r w:rsidRPr="00F954EB">
        <w:rPr>
          <w:b/>
        </w:rPr>
        <w:t xml:space="preserve">from </w:t>
      </w:r>
      <w:r w:rsidRPr="00F954EB">
        <w:rPr>
          <w:b/>
          <w:i/>
        </w:rPr>
        <w:t>Endangered</w:t>
      </w:r>
      <w:r w:rsidRPr="00F954EB">
        <w:rPr>
          <w:b/>
        </w:rPr>
        <w:t xml:space="preserve"> to </w:t>
      </w:r>
      <w:r w:rsidRPr="00F954EB">
        <w:rPr>
          <w:b/>
          <w:i/>
        </w:rPr>
        <w:t>Threatened</w:t>
      </w:r>
      <w:r w:rsidRPr="00F954EB">
        <w:rPr>
          <w:b/>
        </w:rPr>
        <w:t xml:space="preserve"> is Mandatory Based on </w:t>
      </w:r>
      <w:r w:rsidR="001E3C4A" w:rsidRPr="00F954EB">
        <w:rPr>
          <w:b/>
        </w:rPr>
        <w:t>CARRYING CAPACITY</w:t>
      </w:r>
      <w:r w:rsidR="00F954EB" w:rsidRPr="00F954EB">
        <w:rPr>
          <w:b/>
        </w:rPr>
        <w:t xml:space="preserve"> (CC) and OPTIMUM SUSTAINABLE POPULATION (OSP)</w:t>
      </w:r>
      <w:r w:rsidR="001E3C4A" w:rsidRPr="00F954EB">
        <w:rPr>
          <w:b/>
        </w:rPr>
        <w:t>.</w:t>
      </w:r>
      <w:r w:rsidR="00C3418A">
        <w:rPr>
          <w:b/>
        </w:rPr>
        <w:t xml:space="preserve">  </w:t>
      </w:r>
      <w:r w:rsidR="00C3418A" w:rsidRPr="0046496A">
        <w:rPr>
          <w:b/>
          <w:i/>
        </w:rPr>
        <w:t>Bob Atkins, Citizens for Florida Waterways</w:t>
      </w:r>
    </w:p>
    <w:p w14:paraId="4DCF9FCA" w14:textId="629F0AAD" w:rsidR="009575FD" w:rsidRPr="00F954EB" w:rsidRDefault="009575FD">
      <w:pPr>
        <w:rPr>
          <w:b/>
        </w:rPr>
      </w:pPr>
      <w:bookmarkStart w:id="0" w:name="_GoBack"/>
      <w:bookmarkEnd w:id="0"/>
    </w:p>
    <w:p w14:paraId="3131DCAE" w14:textId="77777777" w:rsidR="00730020" w:rsidRPr="00F954EB" w:rsidRDefault="00730020"/>
    <w:p w14:paraId="60EBBFF3" w14:textId="13021318" w:rsidR="00E426E9" w:rsidRPr="00F954EB" w:rsidRDefault="00730020">
      <w:r w:rsidRPr="00F954EB">
        <w:t xml:space="preserve">This comment addresses the </w:t>
      </w:r>
      <w:r w:rsidR="00F4371C" w:rsidRPr="00F954EB">
        <w:t>c</w:t>
      </w:r>
      <w:r w:rsidR="00DF2286" w:rsidRPr="00F954EB">
        <w:t>urrent state of the</w:t>
      </w:r>
      <w:r w:rsidRPr="00F954EB">
        <w:t xml:space="preserve"> of the West Indian Manatee population</w:t>
      </w:r>
      <w:r w:rsidR="00E426E9" w:rsidRPr="00F954EB">
        <w:t xml:space="preserve"> </w:t>
      </w:r>
      <w:r w:rsidR="00F4371C" w:rsidRPr="00F954EB">
        <w:t xml:space="preserve">as compared to a calculated </w:t>
      </w:r>
      <w:r w:rsidR="00867628" w:rsidRPr="00F954EB">
        <w:t>carrying c</w:t>
      </w:r>
      <w:r w:rsidR="00A61FE6" w:rsidRPr="00F954EB">
        <w:t xml:space="preserve">apacity (CC) </w:t>
      </w:r>
      <w:r w:rsidR="00E426E9" w:rsidRPr="00F954EB">
        <w:t>as a key indicator that the species is no</w:t>
      </w:r>
      <w:r w:rsidR="00A14A92" w:rsidRPr="00F954EB">
        <w:t>t</w:t>
      </w:r>
      <w:r w:rsidR="00E426E9" w:rsidRPr="00F954EB">
        <w:t xml:space="preserve"> </w:t>
      </w:r>
      <w:r w:rsidR="00E426E9" w:rsidRPr="00F954EB">
        <w:rPr>
          <w:i/>
        </w:rPr>
        <w:t>Endangered</w:t>
      </w:r>
      <w:r w:rsidR="00E426E9" w:rsidRPr="00F954EB">
        <w:t>.</w:t>
      </w:r>
      <w:r w:rsidR="00867628" w:rsidRPr="00F954EB">
        <w:t xml:space="preserve">  The commonly accepted definition of </w:t>
      </w:r>
      <w:r w:rsidR="00867628" w:rsidRPr="00F954EB">
        <w:rPr>
          <w:rFonts w:cs="Calibri Bold Italic"/>
        </w:rPr>
        <w:t>carrying capacity is the number of individuals an environment can support without significant negative impacts to the given organism and its environment.</w:t>
      </w:r>
      <w:r w:rsidR="00946716" w:rsidRPr="00F954EB">
        <w:rPr>
          <w:rFonts w:cs="Calibri Bold Italic"/>
        </w:rPr>
        <w:t xml:space="preserve">  The emphasis here must include negative impacts to the environment as important to manatee managers.</w:t>
      </w:r>
    </w:p>
    <w:p w14:paraId="4F2FA4B8" w14:textId="77777777" w:rsidR="00E426E9" w:rsidRPr="00F954EB" w:rsidRDefault="00E426E9"/>
    <w:p w14:paraId="2B8BCDE0" w14:textId="77777777" w:rsidR="000271C4" w:rsidRPr="00F954EB" w:rsidRDefault="000271C4" w:rsidP="000271C4">
      <w:r w:rsidRPr="00F954EB">
        <w:t xml:space="preserve">The decision to list or not list or the determination of the correct classification must be based on the best scientific assessment of the health of the species considering specific criteria defined in the Endangered Species Act.  It must not be based on popular opinion, political pressure, or how various clubs or organizations and their membership have adopted a specific species as their focal cause.  </w:t>
      </w:r>
    </w:p>
    <w:p w14:paraId="2D34ACEE" w14:textId="77777777" w:rsidR="00730020" w:rsidRPr="00F954EB" w:rsidRDefault="00730020"/>
    <w:p w14:paraId="58DAE8C5" w14:textId="77777777" w:rsidR="00730020" w:rsidRPr="00F954EB" w:rsidRDefault="00E426E9">
      <w:r w:rsidRPr="00F954EB">
        <w:t xml:space="preserve">Species classification as </w:t>
      </w:r>
      <w:r w:rsidRPr="00F954EB">
        <w:rPr>
          <w:i/>
        </w:rPr>
        <w:t>Endangered</w:t>
      </w:r>
      <w:r w:rsidRPr="00F954EB">
        <w:t xml:space="preserve"> or </w:t>
      </w:r>
      <w:r w:rsidRPr="00F954EB">
        <w:rPr>
          <w:i/>
        </w:rPr>
        <w:t>Threatened</w:t>
      </w:r>
      <w:r w:rsidRPr="00F954EB">
        <w:t xml:space="preserve"> is</w:t>
      </w:r>
      <w:r w:rsidR="00730020" w:rsidRPr="00F954EB">
        <w:t xml:space="preserve"> based on any one </w:t>
      </w:r>
      <w:r w:rsidRPr="00F954EB">
        <w:t xml:space="preserve">or combination </w:t>
      </w:r>
      <w:r w:rsidR="00730020" w:rsidRPr="00F954EB">
        <w:t xml:space="preserve">of the following </w:t>
      </w:r>
      <w:r w:rsidRPr="00F954EB">
        <w:t>factors</w:t>
      </w:r>
      <w:r w:rsidR="00730020" w:rsidRPr="00F954EB">
        <w:t>:</w:t>
      </w:r>
    </w:p>
    <w:p w14:paraId="6120C440" w14:textId="77777777" w:rsidR="00730020" w:rsidRPr="00F954EB" w:rsidRDefault="00730020" w:rsidP="00730020">
      <w:pPr>
        <w:widowControl w:val="0"/>
        <w:autoSpaceDE w:val="0"/>
        <w:autoSpaceDN w:val="0"/>
        <w:adjustRightInd w:val="0"/>
        <w:ind w:left="540" w:hanging="360"/>
        <w:rPr>
          <w:rFonts w:cs="Lucida Sans Unicode"/>
        </w:rPr>
      </w:pPr>
      <w:r w:rsidRPr="00F954EB">
        <w:rPr>
          <w:rFonts w:cs="Lucida Sans Unicode"/>
        </w:rPr>
        <w:t>1) The present or threatened destruction, modification, or curtailment of its habitat or range;</w:t>
      </w:r>
    </w:p>
    <w:p w14:paraId="4115C0AA" w14:textId="77777777" w:rsidR="00730020" w:rsidRPr="00F954EB" w:rsidRDefault="00730020" w:rsidP="00730020">
      <w:pPr>
        <w:widowControl w:val="0"/>
        <w:autoSpaceDE w:val="0"/>
        <w:autoSpaceDN w:val="0"/>
        <w:adjustRightInd w:val="0"/>
        <w:ind w:left="540" w:hanging="360"/>
        <w:rPr>
          <w:rFonts w:cs="Lucida Sans Unicode"/>
        </w:rPr>
      </w:pPr>
      <w:r w:rsidRPr="00F954EB">
        <w:rPr>
          <w:rFonts w:cs="Lucida Sans Unicode"/>
        </w:rPr>
        <w:t>2) Over utilization for commercial, recreational, scientific, or educational purposes;</w:t>
      </w:r>
    </w:p>
    <w:p w14:paraId="7A8D056F" w14:textId="77777777" w:rsidR="00730020" w:rsidRPr="00F954EB" w:rsidRDefault="00730020" w:rsidP="00730020">
      <w:pPr>
        <w:widowControl w:val="0"/>
        <w:autoSpaceDE w:val="0"/>
        <w:autoSpaceDN w:val="0"/>
        <w:adjustRightInd w:val="0"/>
        <w:ind w:left="540" w:hanging="360"/>
        <w:rPr>
          <w:rFonts w:cs="Lucida Sans Unicode"/>
        </w:rPr>
      </w:pPr>
      <w:r w:rsidRPr="00F954EB">
        <w:rPr>
          <w:rFonts w:cs="Lucida Sans Unicode"/>
        </w:rPr>
        <w:t>3) Disease or predation;</w:t>
      </w:r>
    </w:p>
    <w:p w14:paraId="0F165EB3" w14:textId="77777777" w:rsidR="00730020" w:rsidRPr="00F954EB" w:rsidRDefault="00730020" w:rsidP="00730020">
      <w:pPr>
        <w:widowControl w:val="0"/>
        <w:autoSpaceDE w:val="0"/>
        <w:autoSpaceDN w:val="0"/>
        <w:adjustRightInd w:val="0"/>
        <w:ind w:left="540" w:hanging="360"/>
        <w:rPr>
          <w:rFonts w:cs="Lucida Sans Unicode"/>
        </w:rPr>
      </w:pPr>
      <w:r w:rsidRPr="00F954EB">
        <w:rPr>
          <w:rFonts w:cs="Lucida Sans Unicode"/>
        </w:rPr>
        <w:t>4) The inadequacy of existing regulatory mechanisms; or</w:t>
      </w:r>
    </w:p>
    <w:p w14:paraId="683BB7BD" w14:textId="77777777" w:rsidR="00730020" w:rsidRPr="00F954EB" w:rsidRDefault="00730020" w:rsidP="00730020">
      <w:pPr>
        <w:ind w:left="540" w:hanging="360"/>
        <w:rPr>
          <w:rFonts w:cs="Lucida Sans Unicode"/>
        </w:rPr>
      </w:pPr>
      <w:r w:rsidRPr="00F954EB">
        <w:rPr>
          <w:rFonts w:cs="Lucida Sans Unicode"/>
        </w:rPr>
        <w:t>5) Other natural or manmade factors affecting its continued existence.</w:t>
      </w:r>
    </w:p>
    <w:p w14:paraId="570AA6A4" w14:textId="77777777" w:rsidR="00F954EB" w:rsidRPr="00F954EB" w:rsidRDefault="00F954EB" w:rsidP="00F954EB">
      <w:pPr>
        <w:widowControl w:val="0"/>
        <w:autoSpaceDE w:val="0"/>
        <w:autoSpaceDN w:val="0"/>
        <w:adjustRightInd w:val="0"/>
        <w:rPr>
          <w:rFonts w:cs="Helvetica"/>
          <w:color w:val="1049BC"/>
        </w:rPr>
      </w:pPr>
    </w:p>
    <w:p w14:paraId="5DAFAAC2" w14:textId="54B222C5" w:rsidR="00F954EB" w:rsidRDefault="00F954EB" w:rsidP="00F954EB">
      <w:pPr>
        <w:widowControl w:val="0"/>
        <w:autoSpaceDE w:val="0"/>
        <w:autoSpaceDN w:val="0"/>
        <w:adjustRightInd w:val="0"/>
        <w:rPr>
          <w:rFonts w:cs="Arial"/>
          <w:color w:val="0A1954"/>
        </w:rPr>
      </w:pPr>
      <w:r w:rsidRPr="00F954EB">
        <w:rPr>
          <w:rFonts w:cs="Arial"/>
          <w:bCs/>
          <w:color w:val="0A1954"/>
        </w:rPr>
        <w:t>Carrying Capacity (CC) is defined as t</w:t>
      </w:r>
      <w:r w:rsidRPr="00F954EB">
        <w:rPr>
          <w:rFonts w:cs="Arial"/>
          <w:color w:val="0A1954"/>
        </w:rPr>
        <w:t>he maximum number of animals an environment can support based on the available resources.</w:t>
      </w:r>
      <w:r>
        <w:rPr>
          <w:rFonts w:cs="Helvetica"/>
          <w:color w:val="1049BC"/>
        </w:rPr>
        <w:t xml:space="preserve">  </w:t>
      </w:r>
      <w:r>
        <w:rPr>
          <w:rFonts w:cs="Arial"/>
          <w:bCs/>
          <w:color w:val="0A1954"/>
        </w:rPr>
        <w:t xml:space="preserve">Optimum Sustainable Population (OSP) is </w:t>
      </w:r>
      <w:r w:rsidRPr="00F954EB">
        <w:rPr>
          <w:rFonts w:cs="Arial"/>
          <w:color w:val="0A1954"/>
        </w:rPr>
        <w:t>defined</w:t>
      </w:r>
      <w:r w:rsidR="004E68A4" w:rsidRPr="00F954EB">
        <w:rPr>
          <w:rFonts w:cs="Arial"/>
          <w:color w:val="0A1954"/>
        </w:rPr>
        <w:t>, with r</w:t>
      </w:r>
      <w:r w:rsidR="004E68A4">
        <w:rPr>
          <w:rFonts w:cs="Arial"/>
          <w:color w:val="0A1954"/>
        </w:rPr>
        <w:t>espect to any population stock,</w:t>
      </w:r>
      <w:r w:rsidRPr="00F954EB">
        <w:rPr>
          <w:rFonts w:cs="Arial"/>
          <w:color w:val="0A1954"/>
        </w:rPr>
        <w:t xml:space="preserve"> by the </w:t>
      </w:r>
      <w:r>
        <w:rPr>
          <w:rFonts w:cs="Arial"/>
          <w:color w:val="0A1954"/>
        </w:rPr>
        <w:t>Marine Mammal Protection Act (</w:t>
      </w:r>
      <w:r w:rsidRPr="00F954EB">
        <w:rPr>
          <w:rFonts w:cs="Arial"/>
          <w:color w:val="0A1954"/>
        </w:rPr>
        <w:t>MMPA</w:t>
      </w:r>
      <w:r>
        <w:rPr>
          <w:rFonts w:cs="Arial"/>
          <w:color w:val="0A1954"/>
        </w:rPr>
        <w:t>)</w:t>
      </w:r>
      <w:r w:rsidRPr="00F954EB">
        <w:rPr>
          <w:rFonts w:cs="Arial"/>
          <w:color w:val="0A1954"/>
        </w:rPr>
        <w:t xml:space="preserve"> section 3(9)</w:t>
      </w:r>
      <w:r>
        <w:rPr>
          <w:rFonts w:cs="Arial"/>
          <w:color w:val="0A1954"/>
        </w:rPr>
        <w:t xml:space="preserve">.  OSP is </w:t>
      </w:r>
      <w:r w:rsidRPr="00F954EB">
        <w:rPr>
          <w:rFonts w:cs="Arial"/>
          <w:color w:val="0A1954"/>
        </w:rPr>
        <w:t>the number of animals</w:t>
      </w:r>
      <w:r w:rsidR="004E68A4">
        <w:rPr>
          <w:rFonts w:cs="Arial"/>
          <w:color w:val="0A1954"/>
        </w:rPr>
        <w:t>,</w:t>
      </w:r>
      <w:r w:rsidRPr="00F954EB">
        <w:rPr>
          <w:rFonts w:cs="Arial"/>
          <w:color w:val="0A1954"/>
        </w:rPr>
        <w:t xml:space="preserve"> which will result in the maximum productivity of the population or the species, keeping in mind the carrying capacity of the habitat and the health of the ecosystem of which they form a constituent element. (16 U.S.C. 1362(3)(9))</w:t>
      </w:r>
      <w:r>
        <w:rPr>
          <w:rFonts w:cs="Arial"/>
          <w:color w:val="0A1954"/>
        </w:rPr>
        <w:t xml:space="preserve">.  </w:t>
      </w:r>
    </w:p>
    <w:p w14:paraId="4B28844D" w14:textId="77777777" w:rsidR="00F954EB" w:rsidRDefault="00F954EB" w:rsidP="00F954EB">
      <w:pPr>
        <w:widowControl w:val="0"/>
        <w:autoSpaceDE w:val="0"/>
        <w:autoSpaceDN w:val="0"/>
        <w:adjustRightInd w:val="0"/>
        <w:rPr>
          <w:rFonts w:cs="Arial"/>
          <w:color w:val="0A1954"/>
        </w:rPr>
      </w:pPr>
    </w:p>
    <w:p w14:paraId="789EE802" w14:textId="77777777" w:rsidR="00F954EB" w:rsidRDefault="00F954EB" w:rsidP="00F954EB">
      <w:pPr>
        <w:widowControl w:val="0"/>
        <w:autoSpaceDE w:val="0"/>
        <w:autoSpaceDN w:val="0"/>
        <w:adjustRightInd w:val="0"/>
        <w:rPr>
          <w:rFonts w:cs="Arial"/>
          <w:color w:val="0A1954"/>
        </w:rPr>
      </w:pPr>
      <w:r>
        <w:rPr>
          <w:rFonts w:cs="Arial"/>
          <w:color w:val="0A1954"/>
        </w:rPr>
        <w:t>OSP</w:t>
      </w:r>
      <w:r w:rsidRPr="00F954EB">
        <w:rPr>
          <w:rFonts w:cs="Arial"/>
          <w:color w:val="0A1954"/>
        </w:rPr>
        <w:t xml:space="preserve"> is further defined by Federal regulations (50 CFR 216.3) as is a population size which falls within a range from the population level of a given species or stock which is the largest supportable within the ecosystem to the population level that results in maximum net productivity. </w:t>
      </w:r>
      <w:r>
        <w:rPr>
          <w:rFonts w:cs="Arial"/>
          <w:color w:val="0A1954"/>
        </w:rPr>
        <w:t xml:space="preserve"> </w:t>
      </w:r>
      <w:r w:rsidRPr="00F954EB">
        <w:rPr>
          <w:rFonts w:cs="Arial"/>
          <w:color w:val="0A1954"/>
        </w:rPr>
        <w:t>Maximum net productivity is the greatest net annual increment in population numbers or biomass resulting from additions to the population due to reproduction and/or growth less losses due to natural mortality.</w:t>
      </w:r>
    </w:p>
    <w:p w14:paraId="06E33A01" w14:textId="77777777" w:rsidR="00F954EB" w:rsidRDefault="00F954EB" w:rsidP="00F954EB">
      <w:pPr>
        <w:widowControl w:val="0"/>
        <w:autoSpaceDE w:val="0"/>
        <w:autoSpaceDN w:val="0"/>
        <w:adjustRightInd w:val="0"/>
        <w:rPr>
          <w:rFonts w:cs="Arial"/>
          <w:color w:val="0A1954"/>
        </w:rPr>
      </w:pPr>
    </w:p>
    <w:p w14:paraId="7A1B56C2" w14:textId="182CA26E" w:rsidR="007C35C2" w:rsidRPr="007C35C2" w:rsidRDefault="00F954EB" w:rsidP="007C35C2">
      <w:pPr>
        <w:widowControl w:val="0"/>
        <w:autoSpaceDE w:val="0"/>
        <w:autoSpaceDN w:val="0"/>
        <w:adjustRightInd w:val="0"/>
        <w:rPr>
          <w:rFonts w:cs="Arial"/>
          <w:color w:val="0A1954"/>
        </w:rPr>
      </w:pPr>
      <w:r>
        <w:rPr>
          <w:rFonts w:cs="Arial"/>
          <w:color w:val="0A1954"/>
        </w:rPr>
        <w:t xml:space="preserve">Clearly, for many species, CC </w:t>
      </w:r>
      <w:r w:rsidR="005C4746">
        <w:rPr>
          <w:rFonts w:cs="Arial"/>
          <w:color w:val="0A1954"/>
        </w:rPr>
        <w:t>will exceed OSP as the resulting and continued health of the ecosystem is a key factor in determining OSP but not CC.</w:t>
      </w:r>
      <w:r w:rsidR="006636C9">
        <w:rPr>
          <w:rFonts w:cs="Arial"/>
          <w:color w:val="0A1954"/>
        </w:rPr>
        <w:t xml:space="preserve">  </w:t>
      </w:r>
      <w:r w:rsidR="007C35C2">
        <w:rPr>
          <w:rFonts w:cs="Arial"/>
          <w:color w:val="0A1954"/>
        </w:rPr>
        <w:t xml:space="preserve">The </w:t>
      </w:r>
      <w:r w:rsidR="007C35C2">
        <w:t xml:space="preserve">West Indian </w:t>
      </w:r>
      <w:r w:rsidR="007C35C2">
        <w:lastRenderedPageBreak/>
        <w:t xml:space="preserve">Manatee has shown adaptability to almost any aquatic environment that it can swim into, as long as the water temperature remains 68F or above.  </w:t>
      </w:r>
    </w:p>
    <w:p w14:paraId="05DC4020" w14:textId="77777777" w:rsidR="007C35C2" w:rsidRDefault="007C35C2" w:rsidP="007C35C2"/>
    <w:p w14:paraId="31F2B69E" w14:textId="62E0FB15" w:rsidR="005C4746" w:rsidRPr="007C35C2" w:rsidRDefault="007C35C2" w:rsidP="007C35C2">
      <w:r>
        <w:t xml:space="preserve">The critical habitat elements are temperature above 68F, available fresh water sources and submerged aquatic vegetation (SAV).  Therefore, CC is only limited by warm water capacity, SAV, and available fresh water.   </w:t>
      </w:r>
      <w:r>
        <w:rPr>
          <w:rFonts w:cs="Arial"/>
          <w:color w:val="0A1954"/>
        </w:rPr>
        <w:t>For the manatee, thes</w:t>
      </w:r>
      <w:r w:rsidR="006636C9">
        <w:rPr>
          <w:rFonts w:cs="Arial"/>
          <w:color w:val="0A1954"/>
        </w:rPr>
        <w:t xml:space="preserve">e are </w:t>
      </w:r>
      <w:r>
        <w:rPr>
          <w:rFonts w:cs="Arial"/>
          <w:color w:val="0A1954"/>
        </w:rPr>
        <w:t xml:space="preserve">the </w:t>
      </w:r>
      <w:r w:rsidR="006636C9">
        <w:rPr>
          <w:rFonts w:cs="Arial"/>
          <w:color w:val="0A1954"/>
        </w:rPr>
        <w:t xml:space="preserve">only </w:t>
      </w:r>
      <w:r>
        <w:rPr>
          <w:rFonts w:cs="Arial"/>
          <w:color w:val="0A1954"/>
        </w:rPr>
        <w:t xml:space="preserve">naturally occurring and </w:t>
      </w:r>
      <w:r w:rsidR="006636C9">
        <w:rPr>
          <w:rFonts w:cs="Arial"/>
          <w:color w:val="0A1954"/>
        </w:rPr>
        <w:t>constantly present limitations to population</w:t>
      </w:r>
      <w:r>
        <w:rPr>
          <w:rFonts w:cs="Arial"/>
          <w:color w:val="0A1954"/>
        </w:rPr>
        <w:t xml:space="preserve"> – or in other words the elements defining CC.  </w:t>
      </w:r>
    </w:p>
    <w:p w14:paraId="16597B11" w14:textId="77777777" w:rsidR="005C4746" w:rsidRDefault="005C4746" w:rsidP="00F954EB">
      <w:pPr>
        <w:widowControl w:val="0"/>
        <w:autoSpaceDE w:val="0"/>
        <w:autoSpaceDN w:val="0"/>
        <w:adjustRightInd w:val="0"/>
        <w:rPr>
          <w:rFonts w:cs="Arial"/>
          <w:color w:val="0A1954"/>
        </w:rPr>
      </w:pPr>
    </w:p>
    <w:p w14:paraId="06C2FFF2" w14:textId="77777777" w:rsidR="002E1160" w:rsidRDefault="009207B1" w:rsidP="00F954EB">
      <w:pPr>
        <w:widowControl w:val="0"/>
        <w:autoSpaceDE w:val="0"/>
        <w:autoSpaceDN w:val="0"/>
        <w:adjustRightInd w:val="0"/>
      </w:pPr>
      <w:r w:rsidRPr="00F954EB">
        <w:t xml:space="preserve">The greatest danger of continued </w:t>
      </w:r>
      <w:proofErr w:type="spellStart"/>
      <w:r w:rsidRPr="00F954EB">
        <w:t>mis</w:t>
      </w:r>
      <w:proofErr w:type="spellEnd"/>
      <w:r w:rsidRPr="00F954EB">
        <w:t>-classification of the manatee is the inability to actually apply any measures of population control or containment</w:t>
      </w:r>
      <w:r w:rsidR="00F954EB" w:rsidRPr="00F954EB">
        <w:t xml:space="preserve"> even as the population </w:t>
      </w:r>
      <w:r w:rsidR="005C4746">
        <w:t xml:space="preserve">exhibits </w:t>
      </w:r>
      <w:r w:rsidR="00F954EB" w:rsidRPr="00F954EB">
        <w:t>con</w:t>
      </w:r>
      <w:r w:rsidR="005C4746">
        <w:t>t</w:t>
      </w:r>
      <w:r w:rsidR="00F954EB" w:rsidRPr="00F954EB">
        <w:t>i</w:t>
      </w:r>
      <w:r w:rsidR="005C4746">
        <w:t>nual increase</w:t>
      </w:r>
      <w:r w:rsidR="00F954EB" w:rsidRPr="00F954EB">
        <w:t xml:space="preserve"> – ultimately reaching </w:t>
      </w:r>
      <w:r w:rsidR="005C4746">
        <w:t>OSP</w:t>
      </w:r>
      <w:r w:rsidR="004E68A4">
        <w:t xml:space="preserve"> -</w:t>
      </w:r>
      <w:r w:rsidR="005C4746">
        <w:t xml:space="preserve"> </w:t>
      </w:r>
      <w:r w:rsidR="00F954EB" w:rsidRPr="00F954EB">
        <w:t xml:space="preserve">or </w:t>
      </w:r>
      <w:r w:rsidR="004E68A4">
        <w:t xml:space="preserve">potentially </w:t>
      </w:r>
      <w:r w:rsidR="00F954EB" w:rsidRPr="00F954EB">
        <w:t xml:space="preserve">surpassing </w:t>
      </w:r>
      <w:r w:rsidR="005C4746">
        <w:t>even surpassing</w:t>
      </w:r>
      <w:r w:rsidR="00F954EB" w:rsidRPr="00F954EB">
        <w:t xml:space="preserve"> OSP and </w:t>
      </w:r>
      <w:r w:rsidR="005C4746">
        <w:t xml:space="preserve">reaching </w:t>
      </w:r>
      <w:r w:rsidR="00F954EB" w:rsidRPr="00F954EB">
        <w:t>CC</w:t>
      </w:r>
      <w:r w:rsidRPr="00F954EB">
        <w:t xml:space="preserve">. </w:t>
      </w:r>
      <w:r w:rsidR="004E68A4">
        <w:t xml:space="preserve"> The</w:t>
      </w:r>
      <w:r w:rsidRPr="00F954EB">
        <w:t xml:space="preserve"> </w:t>
      </w:r>
      <w:r w:rsidRPr="00F954EB">
        <w:rPr>
          <w:i/>
        </w:rPr>
        <w:t>Endangered</w:t>
      </w:r>
      <w:r w:rsidRPr="00F954EB">
        <w:t xml:space="preserve"> </w:t>
      </w:r>
      <w:r w:rsidR="004E68A4">
        <w:t xml:space="preserve">classification </w:t>
      </w:r>
      <w:r w:rsidR="00F954EB" w:rsidRPr="00F954EB">
        <w:t xml:space="preserve">requires </w:t>
      </w:r>
      <w:r w:rsidRPr="00F954EB">
        <w:t xml:space="preserve">a management approach </w:t>
      </w:r>
      <w:r w:rsidR="00F954EB" w:rsidRPr="00F954EB">
        <w:t>consistent with a depleted species</w:t>
      </w:r>
      <w:r w:rsidR="004E68A4">
        <w:t>.</w:t>
      </w:r>
      <w:r w:rsidR="00F954EB" w:rsidRPr="00F954EB">
        <w:t xml:space="preserve"> </w:t>
      </w:r>
      <w:r w:rsidR="004E68A4">
        <w:t xml:space="preserve"> P</w:t>
      </w:r>
      <w:r w:rsidR="00D7739F" w:rsidRPr="00F954EB">
        <w:t>er language of</w:t>
      </w:r>
      <w:r w:rsidRPr="00F954EB">
        <w:t xml:space="preserve"> the ESA and the Marine Mammal Protections Act (MMPA), the USFWS </w:t>
      </w:r>
      <w:r w:rsidR="00F954EB" w:rsidRPr="00F954EB">
        <w:t>is compelled</w:t>
      </w:r>
      <w:r w:rsidRPr="00F954EB">
        <w:t xml:space="preserve"> to continually manage and regulate to increase the </w:t>
      </w:r>
      <w:r w:rsidR="004E68A4">
        <w:t xml:space="preserve">manatee </w:t>
      </w:r>
      <w:r w:rsidRPr="00F954EB">
        <w:t>population</w:t>
      </w:r>
      <w:r w:rsidR="004E68A4">
        <w:t xml:space="preserve">.  </w:t>
      </w:r>
    </w:p>
    <w:p w14:paraId="465D0677" w14:textId="77777777" w:rsidR="002E1160" w:rsidRDefault="002E1160" w:rsidP="00F954EB">
      <w:pPr>
        <w:widowControl w:val="0"/>
        <w:autoSpaceDE w:val="0"/>
        <w:autoSpaceDN w:val="0"/>
        <w:adjustRightInd w:val="0"/>
      </w:pPr>
    </w:p>
    <w:p w14:paraId="01908488" w14:textId="01E196A6" w:rsidR="009207B1" w:rsidRPr="004E68A4" w:rsidRDefault="004E68A4" w:rsidP="00F954EB">
      <w:pPr>
        <w:widowControl w:val="0"/>
        <w:autoSpaceDE w:val="0"/>
        <w:autoSpaceDN w:val="0"/>
        <w:adjustRightInd w:val="0"/>
      </w:pPr>
      <w:r>
        <w:t xml:space="preserve">Unfortunately, there is little change in allowable management approaches between </w:t>
      </w:r>
      <w:r w:rsidRPr="004E68A4">
        <w:rPr>
          <w:i/>
        </w:rPr>
        <w:t>Endangered</w:t>
      </w:r>
      <w:r>
        <w:t xml:space="preserve"> and </w:t>
      </w:r>
      <w:r w:rsidRPr="004E68A4">
        <w:rPr>
          <w:i/>
        </w:rPr>
        <w:t>Threatened</w:t>
      </w:r>
      <w:r>
        <w:t xml:space="preserve">.  Reclassification to </w:t>
      </w:r>
      <w:r w:rsidRPr="004E68A4">
        <w:rPr>
          <w:i/>
        </w:rPr>
        <w:t>Recovered</w:t>
      </w:r>
      <w:r>
        <w:t xml:space="preserve"> is required to actually implement any measure of population controls</w:t>
      </w:r>
      <w:r w:rsidR="002E1160">
        <w:t xml:space="preserve"> for any species listed in the ESA which is also included in the MMPA</w:t>
      </w:r>
      <w:r>
        <w:t xml:space="preserve">.  Because the threat of local area manatee overpopulation far exceeds any threat of extinction – or even ‘quasi-extinction’, the manatee should be reclassified as </w:t>
      </w:r>
      <w:r w:rsidRPr="002E1160">
        <w:rPr>
          <w:i/>
        </w:rPr>
        <w:t>Re</w:t>
      </w:r>
      <w:r w:rsidR="002E1160" w:rsidRPr="002E1160">
        <w:rPr>
          <w:i/>
        </w:rPr>
        <w:t>covered</w:t>
      </w:r>
      <w:r w:rsidR="002E1160">
        <w:t xml:space="preserve"> as soon as possible.</w:t>
      </w:r>
    </w:p>
    <w:p w14:paraId="2038F973" w14:textId="77777777" w:rsidR="009207B1" w:rsidRPr="00F954EB" w:rsidRDefault="009207B1" w:rsidP="00F4371C">
      <w:pPr>
        <w:pStyle w:val="Default"/>
        <w:rPr>
          <w:rFonts w:asciiTheme="minorHAnsi" w:hAnsiTheme="minorHAnsi"/>
        </w:rPr>
      </w:pPr>
    </w:p>
    <w:p w14:paraId="1FF80026" w14:textId="203B7A66" w:rsidR="008F5135" w:rsidRPr="00F954EB" w:rsidRDefault="00F954EB" w:rsidP="008F5135">
      <w:pPr>
        <w:pStyle w:val="Default"/>
        <w:rPr>
          <w:rFonts w:asciiTheme="minorHAnsi" w:hAnsiTheme="minorHAnsi"/>
        </w:rPr>
      </w:pPr>
      <w:r w:rsidRPr="00F954EB">
        <w:rPr>
          <w:rFonts w:asciiTheme="minorHAnsi" w:hAnsiTheme="minorHAnsi"/>
        </w:rPr>
        <w:t>We at CCFW are not cognizant that an</w:t>
      </w:r>
      <w:r w:rsidR="008F5135" w:rsidRPr="00F954EB">
        <w:rPr>
          <w:rFonts w:asciiTheme="minorHAnsi" w:hAnsiTheme="minorHAnsi"/>
        </w:rPr>
        <w:t xml:space="preserve"> accepted value for </w:t>
      </w:r>
      <w:r w:rsidR="001E3C4A" w:rsidRPr="00F954EB">
        <w:rPr>
          <w:rFonts w:asciiTheme="minorHAnsi" w:hAnsiTheme="minorHAnsi"/>
        </w:rPr>
        <w:t xml:space="preserve">overall </w:t>
      </w:r>
      <w:r w:rsidR="00867628" w:rsidRPr="00F954EB">
        <w:rPr>
          <w:rFonts w:asciiTheme="minorHAnsi" w:hAnsiTheme="minorHAnsi"/>
        </w:rPr>
        <w:t>CC</w:t>
      </w:r>
      <w:r w:rsidR="001E3C4A" w:rsidRPr="00F954EB">
        <w:rPr>
          <w:rFonts w:asciiTheme="minorHAnsi" w:hAnsiTheme="minorHAnsi"/>
        </w:rPr>
        <w:t xml:space="preserve"> </w:t>
      </w:r>
      <w:r w:rsidR="008F5135" w:rsidRPr="00F954EB">
        <w:rPr>
          <w:rFonts w:asciiTheme="minorHAnsi" w:hAnsiTheme="minorHAnsi"/>
        </w:rPr>
        <w:t xml:space="preserve">has been calculated.  There has been some research as it relates to </w:t>
      </w:r>
      <w:r w:rsidR="00867628" w:rsidRPr="00F954EB">
        <w:rPr>
          <w:rFonts w:asciiTheme="minorHAnsi" w:hAnsiTheme="minorHAnsi"/>
        </w:rPr>
        <w:t>CC.</w:t>
      </w:r>
      <w:r w:rsidR="008F5135" w:rsidRPr="00F954EB">
        <w:rPr>
          <w:rFonts w:asciiTheme="minorHAnsi" w:hAnsiTheme="minorHAnsi"/>
        </w:rPr>
        <w:t xml:space="preserve">  </w:t>
      </w:r>
      <w:r w:rsidR="001E3C4A" w:rsidRPr="00F954EB">
        <w:rPr>
          <w:rFonts w:asciiTheme="minorHAnsi" w:hAnsiTheme="minorHAnsi"/>
        </w:rPr>
        <w:t xml:space="preserve">All </w:t>
      </w:r>
      <w:r w:rsidR="005C4746">
        <w:rPr>
          <w:rFonts w:asciiTheme="minorHAnsi" w:hAnsiTheme="minorHAnsi"/>
        </w:rPr>
        <w:t xml:space="preserve">of the research found by CFFW </w:t>
      </w:r>
      <w:r w:rsidR="008F5135" w:rsidRPr="00F954EB">
        <w:rPr>
          <w:rFonts w:asciiTheme="minorHAnsi" w:hAnsiTheme="minorHAnsi"/>
        </w:rPr>
        <w:t>has be</w:t>
      </w:r>
      <w:r w:rsidR="001E3C4A" w:rsidRPr="00F954EB">
        <w:rPr>
          <w:rFonts w:asciiTheme="minorHAnsi" w:hAnsiTheme="minorHAnsi"/>
        </w:rPr>
        <w:t>en more specifically targeted a</w:t>
      </w:r>
      <w:r w:rsidR="008F5135" w:rsidRPr="00F954EB">
        <w:rPr>
          <w:rFonts w:asciiTheme="minorHAnsi" w:hAnsiTheme="minorHAnsi"/>
        </w:rPr>
        <w:t xml:space="preserve"> </w:t>
      </w:r>
      <w:r w:rsidR="001E3C4A" w:rsidRPr="00F954EB">
        <w:rPr>
          <w:rFonts w:asciiTheme="minorHAnsi" w:hAnsiTheme="minorHAnsi"/>
        </w:rPr>
        <w:t xml:space="preserve">top-down </w:t>
      </w:r>
      <w:r w:rsidR="008F5135" w:rsidRPr="00F954EB">
        <w:rPr>
          <w:rFonts w:asciiTheme="minorHAnsi" w:hAnsiTheme="minorHAnsi"/>
        </w:rPr>
        <w:t>statewide or habitat wide CC.</w:t>
      </w:r>
      <w:r w:rsidR="001E3C4A" w:rsidRPr="00F954EB">
        <w:rPr>
          <w:rFonts w:asciiTheme="minorHAnsi" w:hAnsiTheme="minorHAnsi"/>
        </w:rPr>
        <w:t xml:space="preserve">  Alternatively, this </w:t>
      </w:r>
      <w:r w:rsidR="00867628" w:rsidRPr="00F954EB">
        <w:rPr>
          <w:rFonts w:asciiTheme="minorHAnsi" w:hAnsiTheme="minorHAnsi"/>
        </w:rPr>
        <w:t>overall</w:t>
      </w:r>
      <w:r w:rsidR="001E3C4A" w:rsidRPr="00F954EB">
        <w:rPr>
          <w:rFonts w:asciiTheme="minorHAnsi" w:hAnsiTheme="minorHAnsi"/>
        </w:rPr>
        <w:t xml:space="preserve"> CC might be more readily determined </w:t>
      </w:r>
      <w:r w:rsidR="00867628" w:rsidRPr="00F954EB">
        <w:rPr>
          <w:rFonts w:asciiTheme="minorHAnsi" w:hAnsiTheme="minorHAnsi"/>
        </w:rPr>
        <w:t>by collectively determining</w:t>
      </w:r>
      <w:r w:rsidR="001E3C4A" w:rsidRPr="00F954EB">
        <w:rPr>
          <w:rFonts w:asciiTheme="minorHAnsi" w:hAnsiTheme="minorHAnsi"/>
        </w:rPr>
        <w:t xml:space="preserve"> </w:t>
      </w:r>
      <w:r w:rsidR="00867628" w:rsidRPr="00F954EB">
        <w:rPr>
          <w:rFonts w:asciiTheme="minorHAnsi" w:hAnsiTheme="minorHAnsi"/>
        </w:rPr>
        <w:t xml:space="preserve">and combining </w:t>
      </w:r>
      <w:r w:rsidR="001E3C4A" w:rsidRPr="00F954EB">
        <w:rPr>
          <w:rFonts w:asciiTheme="minorHAnsi" w:hAnsiTheme="minorHAnsi"/>
        </w:rPr>
        <w:t xml:space="preserve">local area </w:t>
      </w:r>
      <w:r w:rsidR="00867628" w:rsidRPr="00F954EB">
        <w:rPr>
          <w:rFonts w:asciiTheme="minorHAnsi" w:hAnsiTheme="minorHAnsi"/>
        </w:rPr>
        <w:t xml:space="preserve">CCs. </w:t>
      </w:r>
      <w:r w:rsidR="006636C9">
        <w:rPr>
          <w:rFonts w:asciiTheme="minorHAnsi" w:hAnsiTheme="minorHAnsi"/>
        </w:rPr>
        <w:t xml:space="preserve"> </w:t>
      </w:r>
      <w:r w:rsidR="00867628" w:rsidRPr="00F954EB">
        <w:rPr>
          <w:rFonts w:asciiTheme="minorHAnsi" w:hAnsiTheme="minorHAnsi"/>
        </w:rPr>
        <w:t>These local area CCs may</w:t>
      </w:r>
      <w:r w:rsidR="001E3C4A" w:rsidRPr="00F954EB">
        <w:rPr>
          <w:rFonts w:asciiTheme="minorHAnsi" w:hAnsiTheme="minorHAnsi"/>
        </w:rPr>
        <w:t xml:space="preserve"> actually have more significant value to species managers in their decision processes on specific actions, both re</w:t>
      </w:r>
      <w:r w:rsidR="002E1160">
        <w:rPr>
          <w:rFonts w:asciiTheme="minorHAnsi" w:hAnsiTheme="minorHAnsi"/>
        </w:rPr>
        <w:t>gulatory and stock management, since the impact on the ecosystem by the manatee population size may be more critical in one local are vs. another.</w:t>
      </w:r>
    </w:p>
    <w:p w14:paraId="0EE3470F" w14:textId="77777777" w:rsidR="001E3C4A" w:rsidRPr="00F954EB" w:rsidRDefault="001E3C4A" w:rsidP="008F5135">
      <w:pPr>
        <w:pStyle w:val="Default"/>
        <w:rPr>
          <w:rFonts w:asciiTheme="minorHAnsi" w:hAnsiTheme="minorHAnsi"/>
        </w:rPr>
      </w:pPr>
    </w:p>
    <w:p w14:paraId="03678208" w14:textId="0E588A01" w:rsidR="00946716" w:rsidRPr="00F954EB" w:rsidRDefault="001E3C4A" w:rsidP="008F5135">
      <w:pPr>
        <w:pStyle w:val="Default"/>
        <w:rPr>
          <w:rFonts w:asciiTheme="minorHAnsi" w:hAnsiTheme="minorHAnsi"/>
        </w:rPr>
      </w:pPr>
      <w:r w:rsidRPr="00F954EB">
        <w:rPr>
          <w:rFonts w:asciiTheme="minorHAnsi" w:hAnsiTheme="minorHAnsi"/>
        </w:rPr>
        <w:t xml:space="preserve">For example, it may be a good management decision to eliminate </w:t>
      </w:r>
      <w:r w:rsidR="002E1160">
        <w:rPr>
          <w:rFonts w:asciiTheme="minorHAnsi" w:hAnsiTheme="minorHAnsi"/>
        </w:rPr>
        <w:t xml:space="preserve">the </w:t>
      </w:r>
      <w:r w:rsidRPr="00F954EB">
        <w:rPr>
          <w:rFonts w:asciiTheme="minorHAnsi" w:hAnsiTheme="minorHAnsi"/>
        </w:rPr>
        <w:t xml:space="preserve">warm </w:t>
      </w:r>
      <w:r w:rsidR="00867628" w:rsidRPr="00F954EB">
        <w:rPr>
          <w:rFonts w:asciiTheme="minorHAnsi" w:hAnsiTheme="minorHAnsi"/>
        </w:rPr>
        <w:t xml:space="preserve">water outflow from a particular </w:t>
      </w:r>
      <w:r w:rsidRPr="00F954EB">
        <w:rPr>
          <w:rFonts w:asciiTheme="minorHAnsi" w:hAnsiTheme="minorHAnsi"/>
        </w:rPr>
        <w:t>manmade source</w:t>
      </w:r>
      <w:r w:rsidR="00867628" w:rsidRPr="00F954EB">
        <w:rPr>
          <w:rFonts w:asciiTheme="minorHAnsi" w:hAnsiTheme="minorHAnsi"/>
        </w:rPr>
        <w:t xml:space="preserve"> and no</w:t>
      </w:r>
      <w:r w:rsidR="002E1160">
        <w:rPr>
          <w:rFonts w:asciiTheme="minorHAnsi" w:hAnsiTheme="minorHAnsi"/>
        </w:rPr>
        <w:t>t others based on the local are</w:t>
      </w:r>
      <w:r w:rsidR="00867628" w:rsidRPr="00F954EB">
        <w:rPr>
          <w:rFonts w:asciiTheme="minorHAnsi" w:hAnsiTheme="minorHAnsi"/>
        </w:rPr>
        <w:t>a population comparison to the local area carry capacity. While in another area, such a decision might clearly be detrimental in light of a locally limited population.</w:t>
      </w:r>
      <w:r w:rsidR="00946716" w:rsidRPr="00F954EB">
        <w:rPr>
          <w:rFonts w:asciiTheme="minorHAnsi" w:hAnsiTheme="minorHAnsi"/>
        </w:rPr>
        <w:t xml:space="preserve">  </w:t>
      </w:r>
    </w:p>
    <w:p w14:paraId="126EB997" w14:textId="77777777" w:rsidR="00946716" w:rsidRPr="00F954EB" w:rsidRDefault="00946716" w:rsidP="008F5135">
      <w:pPr>
        <w:pStyle w:val="Default"/>
        <w:rPr>
          <w:rFonts w:asciiTheme="minorHAnsi" w:hAnsiTheme="minorHAnsi"/>
        </w:rPr>
      </w:pPr>
    </w:p>
    <w:p w14:paraId="1F0450B4" w14:textId="34F4124C" w:rsidR="001E3C4A" w:rsidRPr="00F954EB" w:rsidRDefault="00946716" w:rsidP="008F5135">
      <w:pPr>
        <w:pStyle w:val="Default"/>
        <w:rPr>
          <w:rFonts w:asciiTheme="minorHAnsi" w:hAnsiTheme="minorHAnsi"/>
        </w:rPr>
      </w:pPr>
      <w:r w:rsidRPr="00F954EB">
        <w:rPr>
          <w:rFonts w:asciiTheme="minorHAnsi" w:hAnsiTheme="minorHAnsi"/>
        </w:rPr>
        <w:t>One of the concerns with manatee management is that this species is capable of exceeding CC.  That is, the manatee population has the capacity to continue to grow, even beyond the ability of the environment to thrive as a healthy ecosystem for other shared species.  At some point, even the manatee population would experience sudden and catastrophic decline, but the ecosystem may have been all but destroyed prior to reaching that event.</w:t>
      </w:r>
    </w:p>
    <w:p w14:paraId="082A84AE" w14:textId="77777777" w:rsidR="008F5135" w:rsidRPr="00F954EB" w:rsidRDefault="008F5135" w:rsidP="008F5135">
      <w:pPr>
        <w:pStyle w:val="Default"/>
        <w:rPr>
          <w:rFonts w:asciiTheme="minorHAnsi" w:hAnsiTheme="minorHAnsi"/>
        </w:rPr>
      </w:pPr>
    </w:p>
    <w:p w14:paraId="676AE021" w14:textId="7DAF9466" w:rsidR="004A23B9" w:rsidRPr="00F954EB" w:rsidRDefault="004A23B9" w:rsidP="00F4371C">
      <w:pPr>
        <w:pStyle w:val="Default"/>
        <w:rPr>
          <w:rFonts w:asciiTheme="minorHAnsi" w:hAnsiTheme="minorHAnsi"/>
        </w:rPr>
      </w:pPr>
      <w:r w:rsidRPr="00F954EB">
        <w:rPr>
          <w:rFonts w:asciiTheme="minorHAnsi" w:hAnsiTheme="minorHAnsi"/>
        </w:rPr>
        <w:lastRenderedPageBreak/>
        <w:t xml:space="preserve">This comment will look at some </w:t>
      </w:r>
      <w:r w:rsidRPr="00F954EB">
        <w:rPr>
          <w:rFonts w:asciiTheme="minorHAnsi" w:hAnsiTheme="minorHAnsi"/>
          <w:i/>
        </w:rPr>
        <w:t>localized</w:t>
      </w:r>
      <w:r w:rsidRPr="00F954EB">
        <w:rPr>
          <w:rFonts w:asciiTheme="minorHAnsi" w:hAnsiTheme="minorHAnsi"/>
        </w:rPr>
        <w:t xml:space="preserve"> CC numbers and compare that to the associated local area </w:t>
      </w:r>
      <w:r w:rsidR="00867628" w:rsidRPr="00F954EB">
        <w:rPr>
          <w:rFonts w:asciiTheme="minorHAnsi" w:hAnsiTheme="minorHAnsi"/>
        </w:rPr>
        <w:t>population</w:t>
      </w:r>
      <w:r w:rsidRPr="00F954EB">
        <w:rPr>
          <w:rFonts w:asciiTheme="minorHAnsi" w:hAnsiTheme="minorHAnsi"/>
        </w:rPr>
        <w:t xml:space="preserve">.  </w:t>
      </w:r>
      <w:r w:rsidR="00FD7B91" w:rsidRPr="00F954EB">
        <w:rPr>
          <w:rFonts w:asciiTheme="minorHAnsi" w:hAnsiTheme="minorHAnsi"/>
        </w:rPr>
        <w:t xml:space="preserve">As we will </w:t>
      </w:r>
      <w:r w:rsidR="008F5135" w:rsidRPr="00F954EB">
        <w:rPr>
          <w:rFonts w:asciiTheme="minorHAnsi" w:hAnsiTheme="minorHAnsi"/>
        </w:rPr>
        <w:t>discuss and illustrate</w:t>
      </w:r>
      <w:r w:rsidR="00FD7B91" w:rsidRPr="00F954EB">
        <w:rPr>
          <w:rFonts w:asciiTheme="minorHAnsi" w:hAnsiTheme="minorHAnsi"/>
        </w:rPr>
        <w:t xml:space="preserve">, the </w:t>
      </w:r>
      <w:r w:rsidR="00867628" w:rsidRPr="00F954EB">
        <w:rPr>
          <w:rFonts w:asciiTheme="minorHAnsi" w:hAnsiTheme="minorHAnsi"/>
        </w:rPr>
        <w:t>CC</w:t>
      </w:r>
      <w:r w:rsidR="00FD7B91" w:rsidRPr="00F954EB">
        <w:rPr>
          <w:rFonts w:asciiTheme="minorHAnsi" w:hAnsiTheme="minorHAnsi"/>
        </w:rPr>
        <w:t xml:space="preserve"> is </w:t>
      </w:r>
      <w:r w:rsidR="002E1160">
        <w:rPr>
          <w:rFonts w:asciiTheme="minorHAnsi" w:hAnsiTheme="minorHAnsi"/>
        </w:rPr>
        <w:t>greater</w:t>
      </w:r>
      <w:r w:rsidR="00FD7B91" w:rsidRPr="00F954EB">
        <w:rPr>
          <w:rFonts w:asciiTheme="minorHAnsi" w:hAnsiTheme="minorHAnsi"/>
        </w:rPr>
        <w:t xml:space="preserve"> than the </w:t>
      </w:r>
      <w:r w:rsidR="002E1160">
        <w:rPr>
          <w:rFonts w:asciiTheme="minorHAnsi" w:hAnsiTheme="minorHAnsi"/>
        </w:rPr>
        <w:t>OSP</w:t>
      </w:r>
      <w:r w:rsidR="00946716" w:rsidRPr="00F954EB">
        <w:rPr>
          <w:rFonts w:asciiTheme="minorHAnsi" w:hAnsiTheme="minorHAnsi"/>
        </w:rPr>
        <w:t>.  This approach to determining CC and the</w:t>
      </w:r>
      <w:r w:rsidRPr="00F954EB">
        <w:rPr>
          <w:rFonts w:asciiTheme="minorHAnsi" w:hAnsiTheme="minorHAnsi"/>
        </w:rPr>
        <w:t xml:space="preserve"> results can be extrapolated to the entire manatee habitat</w:t>
      </w:r>
      <w:r w:rsidR="002E1160">
        <w:rPr>
          <w:rFonts w:asciiTheme="minorHAnsi" w:hAnsiTheme="minorHAnsi"/>
        </w:rPr>
        <w:t xml:space="preserve"> by simply applying the methodology to a well-defined collection of local areas and </w:t>
      </w:r>
      <w:r w:rsidR="00FC780D">
        <w:rPr>
          <w:rFonts w:asciiTheme="minorHAnsi" w:hAnsiTheme="minorHAnsi"/>
        </w:rPr>
        <w:t>then combining the results</w:t>
      </w:r>
      <w:r w:rsidRPr="00F954EB">
        <w:rPr>
          <w:rFonts w:asciiTheme="minorHAnsi" w:hAnsiTheme="minorHAnsi"/>
        </w:rPr>
        <w:t xml:space="preserve">.  </w:t>
      </w:r>
      <w:r w:rsidR="00FD7B91" w:rsidRPr="00F954EB">
        <w:rPr>
          <w:rFonts w:asciiTheme="minorHAnsi" w:hAnsiTheme="minorHAnsi"/>
        </w:rPr>
        <w:t>T</w:t>
      </w:r>
      <w:r w:rsidR="00C4386A" w:rsidRPr="00F954EB">
        <w:rPr>
          <w:rFonts w:asciiTheme="minorHAnsi" w:hAnsiTheme="minorHAnsi"/>
        </w:rPr>
        <w:t>he conclusion is clear.  In the</w:t>
      </w:r>
      <w:r w:rsidR="00FD7B91" w:rsidRPr="00F954EB">
        <w:rPr>
          <w:rFonts w:asciiTheme="minorHAnsi" w:hAnsiTheme="minorHAnsi"/>
        </w:rPr>
        <w:t xml:space="preserve"> local area</w:t>
      </w:r>
      <w:r w:rsidR="00C4386A" w:rsidRPr="00F954EB">
        <w:rPr>
          <w:rFonts w:asciiTheme="minorHAnsi" w:hAnsiTheme="minorHAnsi"/>
        </w:rPr>
        <w:t xml:space="preserve"> of the Indian River Lagoon (IRL)</w:t>
      </w:r>
      <w:r w:rsidR="00FD7B91" w:rsidRPr="00F954EB">
        <w:rPr>
          <w:rFonts w:asciiTheme="minorHAnsi" w:hAnsiTheme="minorHAnsi"/>
        </w:rPr>
        <w:t xml:space="preserve">, the </w:t>
      </w:r>
      <w:r w:rsidRPr="00F954EB">
        <w:rPr>
          <w:rFonts w:asciiTheme="minorHAnsi" w:hAnsiTheme="minorHAnsi"/>
        </w:rPr>
        <w:t>West Indian Manatee population</w:t>
      </w:r>
      <w:r w:rsidR="008F5135" w:rsidRPr="00F954EB">
        <w:rPr>
          <w:rFonts w:asciiTheme="minorHAnsi" w:hAnsiTheme="minorHAnsi"/>
        </w:rPr>
        <w:t xml:space="preserve"> is cons</w:t>
      </w:r>
      <w:r w:rsidR="00FC780D">
        <w:rPr>
          <w:rFonts w:asciiTheme="minorHAnsi" w:hAnsiTheme="minorHAnsi"/>
        </w:rPr>
        <w:t>istently increasing at a</w:t>
      </w:r>
      <w:r w:rsidR="008F5135" w:rsidRPr="00F954EB">
        <w:rPr>
          <w:rFonts w:asciiTheme="minorHAnsi" w:hAnsiTheme="minorHAnsi"/>
        </w:rPr>
        <w:t xml:space="preserve"> </w:t>
      </w:r>
      <w:r w:rsidR="00F02B31" w:rsidRPr="00F954EB">
        <w:rPr>
          <w:rFonts w:asciiTheme="minorHAnsi" w:hAnsiTheme="minorHAnsi"/>
        </w:rPr>
        <w:t>positive</w:t>
      </w:r>
      <w:r w:rsidR="008F5135" w:rsidRPr="00F954EB">
        <w:rPr>
          <w:rFonts w:asciiTheme="minorHAnsi" w:hAnsiTheme="minorHAnsi"/>
        </w:rPr>
        <w:t xml:space="preserve"> rate.  Without some natural catastrophic event or significant change in our management approach, this population, which</w:t>
      </w:r>
      <w:r w:rsidRPr="00F954EB">
        <w:rPr>
          <w:rFonts w:asciiTheme="minorHAnsi" w:hAnsiTheme="minorHAnsi"/>
        </w:rPr>
        <w:t xml:space="preserve"> is at or near </w:t>
      </w:r>
      <w:r w:rsidR="00FC780D">
        <w:rPr>
          <w:rFonts w:asciiTheme="minorHAnsi" w:hAnsiTheme="minorHAnsi"/>
        </w:rPr>
        <w:t>OSP</w:t>
      </w:r>
      <w:r w:rsidR="008F5135" w:rsidRPr="00F954EB">
        <w:rPr>
          <w:rFonts w:asciiTheme="minorHAnsi" w:hAnsiTheme="minorHAnsi"/>
        </w:rPr>
        <w:t>,</w:t>
      </w:r>
      <w:r w:rsidRPr="00F954EB">
        <w:rPr>
          <w:rFonts w:asciiTheme="minorHAnsi" w:hAnsiTheme="minorHAnsi"/>
        </w:rPr>
        <w:t xml:space="preserve"> </w:t>
      </w:r>
      <w:r w:rsidR="008F5135" w:rsidRPr="00F954EB">
        <w:rPr>
          <w:rFonts w:asciiTheme="minorHAnsi" w:hAnsiTheme="minorHAnsi"/>
        </w:rPr>
        <w:t>will likely</w:t>
      </w:r>
      <w:r w:rsidRPr="00F954EB">
        <w:rPr>
          <w:rFonts w:asciiTheme="minorHAnsi" w:hAnsiTheme="minorHAnsi"/>
        </w:rPr>
        <w:t xml:space="preserve"> </w:t>
      </w:r>
      <w:r w:rsidR="008F5135" w:rsidRPr="00F954EB">
        <w:rPr>
          <w:rFonts w:asciiTheme="minorHAnsi" w:hAnsiTheme="minorHAnsi"/>
        </w:rPr>
        <w:t xml:space="preserve">exceed the </w:t>
      </w:r>
      <w:r w:rsidR="00FC780D">
        <w:rPr>
          <w:rFonts w:asciiTheme="minorHAnsi" w:hAnsiTheme="minorHAnsi"/>
        </w:rPr>
        <w:t>OSP</w:t>
      </w:r>
      <w:r w:rsidR="008F5135" w:rsidRPr="00F954EB">
        <w:rPr>
          <w:rFonts w:asciiTheme="minorHAnsi" w:hAnsiTheme="minorHAnsi"/>
        </w:rPr>
        <w:t xml:space="preserve"> or worse yet, continue</w:t>
      </w:r>
      <w:r w:rsidR="00BE2696" w:rsidRPr="00F954EB">
        <w:rPr>
          <w:rFonts w:asciiTheme="minorHAnsi" w:hAnsiTheme="minorHAnsi"/>
        </w:rPr>
        <w:t xml:space="preserve"> to increase toward the total </w:t>
      </w:r>
      <w:r w:rsidR="00FC780D">
        <w:rPr>
          <w:rFonts w:asciiTheme="minorHAnsi" w:hAnsiTheme="minorHAnsi"/>
        </w:rPr>
        <w:t>CC</w:t>
      </w:r>
      <w:r w:rsidR="008F5135" w:rsidRPr="00F954EB">
        <w:rPr>
          <w:rFonts w:asciiTheme="minorHAnsi" w:hAnsiTheme="minorHAnsi"/>
        </w:rPr>
        <w:t>.  The</w:t>
      </w:r>
      <w:r w:rsidRPr="00F954EB">
        <w:rPr>
          <w:rFonts w:asciiTheme="minorHAnsi" w:hAnsiTheme="minorHAnsi"/>
        </w:rPr>
        <w:t xml:space="preserve"> </w:t>
      </w:r>
      <w:r w:rsidR="008F5135" w:rsidRPr="00F954EB">
        <w:rPr>
          <w:rFonts w:asciiTheme="minorHAnsi" w:hAnsiTheme="minorHAnsi"/>
        </w:rPr>
        <w:t xml:space="preserve">near certainty of this outcome </w:t>
      </w:r>
      <w:r w:rsidRPr="00F954EB">
        <w:rPr>
          <w:rFonts w:asciiTheme="minorHAnsi" w:hAnsiTheme="minorHAnsi"/>
        </w:rPr>
        <w:t xml:space="preserve">is </w:t>
      </w:r>
      <w:r w:rsidR="008F5135" w:rsidRPr="00F954EB">
        <w:rPr>
          <w:rFonts w:asciiTheme="minorHAnsi" w:hAnsiTheme="minorHAnsi"/>
        </w:rPr>
        <w:t>nearly three</w:t>
      </w:r>
      <w:r w:rsidRPr="00F954EB">
        <w:rPr>
          <w:rFonts w:asciiTheme="minorHAnsi" w:hAnsiTheme="minorHAnsi"/>
        </w:rPr>
        <w:t xml:space="preserve"> orders of magnitude greater than the likelihood of </w:t>
      </w:r>
      <w:r w:rsidR="008F5135" w:rsidRPr="00F954EB">
        <w:rPr>
          <w:rFonts w:asciiTheme="minorHAnsi" w:hAnsiTheme="minorHAnsi"/>
        </w:rPr>
        <w:t xml:space="preserve">the manatee population reaching </w:t>
      </w:r>
      <w:r w:rsidRPr="00F954EB">
        <w:rPr>
          <w:rFonts w:asciiTheme="minorHAnsi" w:hAnsiTheme="minorHAnsi"/>
        </w:rPr>
        <w:t>‘quasi-extinction’</w:t>
      </w:r>
      <w:r w:rsidR="008F5135" w:rsidRPr="00F954EB">
        <w:rPr>
          <w:rFonts w:asciiTheme="minorHAnsi" w:hAnsiTheme="minorHAnsi"/>
        </w:rPr>
        <w:t xml:space="preserve"> (0</w:t>
      </w:r>
      <w:r w:rsidRPr="00F954EB">
        <w:rPr>
          <w:rFonts w:asciiTheme="minorHAnsi" w:hAnsiTheme="minorHAnsi"/>
        </w:rPr>
        <w:t>.</w:t>
      </w:r>
      <w:r w:rsidR="008F5135" w:rsidRPr="00F954EB">
        <w:rPr>
          <w:rFonts w:asciiTheme="minorHAnsi" w:hAnsiTheme="minorHAnsi"/>
        </w:rPr>
        <w:t>1% probability) over the next 100 years.</w:t>
      </w:r>
    </w:p>
    <w:p w14:paraId="08E136D4" w14:textId="77777777" w:rsidR="00015B89" w:rsidRPr="00F954EB" w:rsidRDefault="00015B89" w:rsidP="00F4371C">
      <w:pPr>
        <w:pStyle w:val="Default"/>
        <w:rPr>
          <w:rFonts w:asciiTheme="minorHAnsi" w:hAnsiTheme="minorHAnsi"/>
        </w:rPr>
      </w:pPr>
    </w:p>
    <w:p w14:paraId="6B3E792D" w14:textId="11C70EF5" w:rsidR="00015B89" w:rsidRDefault="00015B89" w:rsidP="00015B89">
      <w:pPr>
        <w:pStyle w:val="Default"/>
        <w:rPr>
          <w:rFonts w:asciiTheme="minorHAnsi" w:hAnsiTheme="minorHAnsi"/>
          <w:bCs/>
        </w:rPr>
      </w:pPr>
      <w:r w:rsidRPr="00F954EB">
        <w:rPr>
          <w:rFonts w:asciiTheme="minorHAnsi" w:hAnsiTheme="minorHAnsi"/>
          <w:bCs/>
        </w:rPr>
        <w:t xml:space="preserve">When </w:t>
      </w:r>
      <w:r w:rsidR="00FC780D">
        <w:rPr>
          <w:rFonts w:asciiTheme="minorHAnsi" w:hAnsiTheme="minorHAnsi"/>
          <w:bCs/>
        </w:rPr>
        <w:t>Michael C.</w:t>
      </w:r>
      <w:r w:rsidR="008F1A1E" w:rsidRPr="00F954EB">
        <w:rPr>
          <w:rFonts w:asciiTheme="minorHAnsi" w:hAnsiTheme="minorHAnsi"/>
          <w:bCs/>
        </w:rPr>
        <w:t xml:space="preserve"> </w:t>
      </w:r>
      <w:proofErr w:type="spellStart"/>
      <w:r w:rsidRPr="00F954EB">
        <w:rPr>
          <w:rFonts w:asciiTheme="minorHAnsi" w:hAnsiTheme="minorHAnsi"/>
          <w:bCs/>
        </w:rPr>
        <w:t>Runge</w:t>
      </w:r>
      <w:proofErr w:type="spellEnd"/>
      <w:r w:rsidR="00FC780D">
        <w:rPr>
          <w:rFonts w:asciiTheme="minorHAnsi" w:hAnsiTheme="minorHAnsi"/>
          <w:bCs/>
        </w:rPr>
        <w:t xml:space="preserve">, USGS Patuxent, </w:t>
      </w:r>
      <w:r w:rsidRPr="00F954EB">
        <w:rPr>
          <w:rFonts w:asciiTheme="minorHAnsi" w:hAnsiTheme="minorHAnsi"/>
          <w:bCs/>
        </w:rPr>
        <w:t xml:space="preserve">presented the summary of </w:t>
      </w:r>
      <w:r w:rsidR="008F5135" w:rsidRPr="00F954EB">
        <w:rPr>
          <w:rFonts w:asciiTheme="minorHAnsi" w:hAnsiTheme="minorHAnsi"/>
          <w:bCs/>
        </w:rPr>
        <w:t>analysis and results</w:t>
      </w:r>
      <w:r w:rsidRPr="00F954EB">
        <w:rPr>
          <w:rFonts w:asciiTheme="minorHAnsi" w:hAnsiTheme="minorHAnsi"/>
          <w:bCs/>
        </w:rPr>
        <w:t xml:space="preserve"> of the </w:t>
      </w:r>
      <w:r w:rsidR="008F5135" w:rsidRPr="00F954EB">
        <w:rPr>
          <w:rFonts w:asciiTheme="minorHAnsi" w:hAnsiTheme="minorHAnsi"/>
          <w:bCs/>
        </w:rPr>
        <w:t xml:space="preserve">latest applications of the </w:t>
      </w:r>
      <w:r w:rsidR="00FC780D">
        <w:rPr>
          <w:rFonts w:asciiTheme="minorHAnsi" w:hAnsiTheme="minorHAnsi"/>
          <w:bCs/>
        </w:rPr>
        <w:t>USGS</w:t>
      </w:r>
      <w:r w:rsidRPr="00F954EB">
        <w:rPr>
          <w:rFonts w:asciiTheme="minorHAnsi" w:hAnsiTheme="minorHAnsi"/>
          <w:bCs/>
        </w:rPr>
        <w:t xml:space="preserve"> Manatee Core Biological Model (CBM) to the Manatee Forum in May 2013, he showed manatee population predictions for the next 100</w:t>
      </w:r>
      <w:r w:rsidR="00FC780D">
        <w:rPr>
          <w:rFonts w:asciiTheme="minorHAnsi" w:hAnsiTheme="minorHAnsi"/>
          <w:bCs/>
        </w:rPr>
        <w:t>-150</w:t>
      </w:r>
      <w:r w:rsidRPr="00F954EB">
        <w:rPr>
          <w:rFonts w:asciiTheme="minorHAnsi" w:hAnsiTheme="minorHAnsi"/>
          <w:bCs/>
        </w:rPr>
        <w:t xml:space="preserve"> years as well as the projection in each of</w:t>
      </w:r>
      <w:r w:rsidR="008F5135" w:rsidRPr="00F954EB">
        <w:rPr>
          <w:rFonts w:asciiTheme="minorHAnsi" w:hAnsiTheme="minorHAnsi"/>
          <w:bCs/>
        </w:rPr>
        <w:t xml:space="preserve"> the four </w:t>
      </w:r>
      <w:r w:rsidR="00BE2696" w:rsidRPr="00F954EB">
        <w:rPr>
          <w:rFonts w:asciiTheme="minorHAnsi" w:hAnsiTheme="minorHAnsi"/>
          <w:bCs/>
        </w:rPr>
        <w:t>sub-</w:t>
      </w:r>
      <w:r w:rsidR="008F5135" w:rsidRPr="00F954EB">
        <w:rPr>
          <w:rFonts w:asciiTheme="minorHAnsi" w:hAnsiTheme="minorHAnsi"/>
          <w:bCs/>
        </w:rPr>
        <w:t>r</w:t>
      </w:r>
      <w:r w:rsidR="00FC780D">
        <w:rPr>
          <w:rFonts w:asciiTheme="minorHAnsi" w:hAnsiTheme="minorHAnsi"/>
          <w:bCs/>
        </w:rPr>
        <w:t xml:space="preserve">egions.  The representatives of USGS And USFWS praised the </w:t>
      </w:r>
      <w:proofErr w:type="spellStart"/>
      <w:r w:rsidR="00FC780D">
        <w:rPr>
          <w:rFonts w:asciiTheme="minorHAnsi" w:hAnsiTheme="minorHAnsi"/>
          <w:bCs/>
        </w:rPr>
        <w:t>Manantee</w:t>
      </w:r>
      <w:proofErr w:type="spellEnd"/>
      <w:r w:rsidR="00FC780D">
        <w:rPr>
          <w:rFonts w:asciiTheme="minorHAnsi" w:hAnsiTheme="minorHAnsi"/>
          <w:bCs/>
        </w:rPr>
        <w:t xml:space="preserve"> CBM as the most sophisticated species model developed to date.  </w:t>
      </w:r>
      <w:proofErr w:type="spellStart"/>
      <w:r w:rsidR="00FC780D">
        <w:rPr>
          <w:rFonts w:asciiTheme="minorHAnsi" w:hAnsiTheme="minorHAnsi"/>
          <w:bCs/>
        </w:rPr>
        <w:t>Runge’s</w:t>
      </w:r>
      <w:proofErr w:type="spellEnd"/>
      <w:r w:rsidR="00FC780D">
        <w:rPr>
          <w:rFonts w:asciiTheme="minorHAnsi" w:hAnsiTheme="minorHAnsi"/>
          <w:bCs/>
        </w:rPr>
        <w:t xml:space="preserve"> presentation of results </w:t>
      </w:r>
      <w:r w:rsidR="008F5135" w:rsidRPr="00F954EB">
        <w:rPr>
          <w:rFonts w:asciiTheme="minorHAnsi" w:hAnsiTheme="minorHAnsi"/>
          <w:bCs/>
        </w:rPr>
        <w:t>is the source of the ‘qua</w:t>
      </w:r>
      <w:r w:rsidR="00FC780D">
        <w:rPr>
          <w:rFonts w:asciiTheme="minorHAnsi" w:hAnsiTheme="minorHAnsi"/>
          <w:bCs/>
        </w:rPr>
        <w:t>si-extinction’ prediction above and is illustrated in this graph.</w:t>
      </w:r>
    </w:p>
    <w:p w14:paraId="273E687E" w14:textId="77777777" w:rsidR="006636C9" w:rsidRPr="00F954EB" w:rsidRDefault="006636C9" w:rsidP="00015B89">
      <w:pPr>
        <w:pStyle w:val="Default"/>
        <w:rPr>
          <w:rFonts w:asciiTheme="minorHAnsi" w:hAnsiTheme="minorHAnsi"/>
          <w:bCs/>
        </w:rPr>
      </w:pPr>
    </w:p>
    <w:p w14:paraId="3C7AF296" w14:textId="177E4D89" w:rsidR="00D763D7" w:rsidRPr="00F954EB" w:rsidRDefault="00D763D7" w:rsidP="00BE2696">
      <w:pPr>
        <w:pStyle w:val="Default"/>
        <w:jc w:val="center"/>
        <w:rPr>
          <w:rFonts w:asciiTheme="minorHAnsi" w:hAnsiTheme="minorHAnsi"/>
          <w:bCs/>
        </w:rPr>
      </w:pPr>
      <w:r w:rsidRPr="00F954EB">
        <w:rPr>
          <w:rFonts w:asciiTheme="minorHAnsi" w:hAnsiTheme="minorHAnsi"/>
          <w:bCs/>
          <w:noProof/>
        </w:rPr>
        <w:drawing>
          <wp:inline distT="0" distB="0" distL="0" distR="0" wp14:anchorId="31FF8628" wp14:editId="5549303E">
            <wp:extent cx="3478082" cy="26289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0136" cy="2630452"/>
                    </a:xfrm>
                    <a:prstGeom prst="rect">
                      <a:avLst/>
                    </a:prstGeom>
                    <a:noFill/>
                    <a:ln>
                      <a:noFill/>
                    </a:ln>
                  </pic:spPr>
                </pic:pic>
              </a:graphicData>
            </a:graphic>
          </wp:inline>
        </w:drawing>
      </w:r>
    </w:p>
    <w:p w14:paraId="36FC80A6" w14:textId="14FEF2D6" w:rsidR="00BE2696" w:rsidRPr="009F2CB0" w:rsidRDefault="009F2CB0" w:rsidP="009F2CB0">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r>
        <w:rPr>
          <w:rFonts w:cs="Times New Roman"/>
          <w:sz w:val="18"/>
          <w:szCs w:val="18"/>
        </w:rPr>
        <w:br/>
      </w:r>
    </w:p>
    <w:p w14:paraId="0D590F57" w14:textId="269A6EF3" w:rsidR="00C4271B" w:rsidRPr="00F954EB" w:rsidRDefault="00FC780D" w:rsidP="00015B89">
      <w:pPr>
        <w:pStyle w:val="Default"/>
        <w:rPr>
          <w:rFonts w:asciiTheme="minorHAnsi" w:hAnsiTheme="minorHAnsi"/>
          <w:bCs/>
        </w:rPr>
      </w:pPr>
      <w:r>
        <w:rPr>
          <w:rFonts w:asciiTheme="minorHAnsi" w:hAnsiTheme="minorHAnsi"/>
          <w:bCs/>
        </w:rPr>
        <w:t>Also included in the CBM</w:t>
      </w:r>
      <w:r w:rsidR="00015B89" w:rsidRPr="00F954EB">
        <w:rPr>
          <w:rFonts w:asciiTheme="minorHAnsi" w:hAnsiTheme="minorHAnsi"/>
          <w:bCs/>
        </w:rPr>
        <w:t xml:space="preserve"> analysis </w:t>
      </w:r>
      <w:r>
        <w:rPr>
          <w:rFonts w:asciiTheme="minorHAnsi" w:hAnsiTheme="minorHAnsi"/>
          <w:bCs/>
        </w:rPr>
        <w:t xml:space="preserve">were limitations </w:t>
      </w:r>
      <w:r w:rsidR="00015B89" w:rsidRPr="00F954EB">
        <w:rPr>
          <w:rFonts w:asciiTheme="minorHAnsi" w:hAnsiTheme="minorHAnsi"/>
          <w:bCs/>
        </w:rPr>
        <w:t xml:space="preserve">of the statewide warm water capacity and its affect on manatee population predictions. </w:t>
      </w:r>
      <w:proofErr w:type="spellStart"/>
      <w:r w:rsidRPr="00F954EB">
        <w:rPr>
          <w:rFonts w:asciiTheme="minorHAnsi" w:hAnsiTheme="minorHAnsi"/>
          <w:bCs/>
        </w:rPr>
        <w:t>Runge</w:t>
      </w:r>
      <w:proofErr w:type="spellEnd"/>
      <w:r w:rsidRPr="00F954EB">
        <w:rPr>
          <w:rFonts w:asciiTheme="minorHAnsi" w:hAnsiTheme="minorHAnsi"/>
          <w:bCs/>
        </w:rPr>
        <w:t xml:space="preserve"> showed the </w:t>
      </w:r>
    </w:p>
    <w:p w14:paraId="3239D25D" w14:textId="34B8F7F3" w:rsidR="00FC780D" w:rsidRPr="00F954EB" w:rsidRDefault="009F2CB0" w:rsidP="00FC780D">
      <w:pPr>
        <w:pStyle w:val="Default"/>
        <w:rPr>
          <w:rFonts w:asciiTheme="minorHAnsi" w:hAnsiTheme="minorHAnsi"/>
          <w:bCs/>
        </w:rPr>
      </w:pPr>
      <w:r>
        <w:rPr>
          <w:rFonts w:asciiTheme="minorHAnsi" w:hAnsiTheme="minorHAnsi"/>
          <w:bCs/>
        </w:rPr>
        <w:t xml:space="preserve">greatest </w:t>
      </w:r>
      <w:r w:rsidRPr="00F954EB">
        <w:rPr>
          <w:rFonts w:asciiTheme="minorHAnsi" w:hAnsiTheme="minorHAnsi"/>
          <w:bCs/>
        </w:rPr>
        <w:t xml:space="preserve">upper </w:t>
      </w:r>
      <w:r w:rsidR="00FC780D" w:rsidRPr="00F954EB">
        <w:rPr>
          <w:rFonts w:asciiTheme="minorHAnsi" w:hAnsiTheme="minorHAnsi"/>
          <w:bCs/>
        </w:rPr>
        <w:t xml:space="preserve">bound of the warm water capacity at around 32,000 manatees and decreasing to around 20,000 over the next 100 years and the </w:t>
      </w:r>
      <w:r>
        <w:rPr>
          <w:rFonts w:asciiTheme="minorHAnsi" w:hAnsiTheme="minorHAnsi"/>
          <w:bCs/>
        </w:rPr>
        <w:t xml:space="preserve">lowest </w:t>
      </w:r>
      <w:r w:rsidR="00FC780D" w:rsidRPr="00F954EB">
        <w:rPr>
          <w:rFonts w:asciiTheme="minorHAnsi" w:hAnsiTheme="minorHAnsi"/>
          <w:bCs/>
        </w:rPr>
        <w:t>lower bound at 10,000 decreasing to around 4,000 ma</w:t>
      </w:r>
      <w:r>
        <w:rPr>
          <w:rFonts w:asciiTheme="minorHAnsi" w:hAnsiTheme="minorHAnsi"/>
          <w:bCs/>
        </w:rPr>
        <w:t>natees over the next 100 years.  While the potential for loss of the manmade warm water outflows near the power plants is a matter of policy and regulatory decision making, the predicted future decreases in natural warm water capacity are simply theoretical.</w:t>
      </w:r>
    </w:p>
    <w:p w14:paraId="6F47FB0C" w14:textId="77777777" w:rsidR="00FC780D" w:rsidRPr="00F954EB" w:rsidRDefault="00FC780D" w:rsidP="00FC780D">
      <w:pPr>
        <w:pStyle w:val="Default"/>
        <w:rPr>
          <w:rFonts w:asciiTheme="minorHAnsi" w:hAnsiTheme="minorHAnsi"/>
          <w:bCs/>
        </w:rPr>
      </w:pPr>
    </w:p>
    <w:p w14:paraId="1B4BB7FD" w14:textId="77777777" w:rsidR="009F2CB0" w:rsidRPr="00F954EB" w:rsidRDefault="009F2CB0" w:rsidP="009F2CB0">
      <w:pPr>
        <w:pStyle w:val="Default"/>
        <w:jc w:val="center"/>
        <w:rPr>
          <w:rFonts w:asciiTheme="minorHAnsi" w:hAnsiTheme="minorHAnsi"/>
          <w:bCs/>
        </w:rPr>
      </w:pPr>
      <w:r w:rsidRPr="00F954EB">
        <w:rPr>
          <w:rFonts w:asciiTheme="minorHAnsi" w:hAnsiTheme="minorHAnsi"/>
          <w:bCs/>
          <w:noProof/>
        </w:rPr>
        <w:drawing>
          <wp:inline distT="0" distB="0" distL="0" distR="0" wp14:anchorId="5F2EEA8E" wp14:editId="25E935C9">
            <wp:extent cx="3505200" cy="26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7069" cy="2654550"/>
                    </a:xfrm>
                    <a:prstGeom prst="rect">
                      <a:avLst/>
                    </a:prstGeom>
                    <a:noFill/>
                    <a:ln>
                      <a:noFill/>
                    </a:ln>
                  </pic:spPr>
                </pic:pic>
              </a:graphicData>
            </a:graphic>
          </wp:inline>
        </w:drawing>
      </w:r>
    </w:p>
    <w:p w14:paraId="42DE2499" w14:textId="7EC11E95" w:rsidR="009F2CB0" w:rsidRPr="005C4746" w:rsidRDefault="009F2CB0" w:rsidP="009F2CB0">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r>
        <w:rPr>
          <w:rFonts w:cs="Times New Roman"/>
          <w:sz w:val="18"/>
          <w:szCs w:val="18"/>
        </w:rPr>
        <w:br/>
      </w:r>
    </w:p>
    <w:p w14:paraId="70457DB5" w14:textId="52722005" w:rsidR="008F5135" w:rsidRPr="00F954EB" w:rsidRDefault="008F5135" w:rsidP="00015B89">
      <w:pPr>
        <w:pStyle w:val="Default"/>
        <w:rPr>
          <w:rFonts w:asciiTheme="minorHAnsi" w:hAnsiTheme="minorHAnsi"/>
          <w:bCs/>
        </w:rPr>
      </w:pPr>
      <w:r w:rsidRPr="00F954EB">
        <w:rPr>
          <w:rFonts w:asciiTheme="minorHAnsi" w:hAnsiTheme="minorHAnsi"/>
          <w:bCs/>
        </w:rPr>
        <w:t xml:space="preserve">Incorporating the </w:t>
      </w:r>
      <w:r w:rsidR="009F2CB0">
        <w:rPr>
          <w:rFonts w:asciiTheme="minorHAnsi" w:hAnsiTheme="minorHAnsi"/>
          <w:bCs/>
        </w:rPr>
        <w:t xml:space="preserve">theoretical </w:t>
      </w:r>
      <w:r w:rsidR="00BE2696" w:rsidRPr="00F954EB">
        <w:rPr>
          <w:rFonts w:asciiTheme="minorHAnsi" w:hAnsiTheme="minorHAnsi"/>
          <w:bCs/>
        </w:rPr>
        <w:t xml:space="preserve">decreasing </w:t>
      </w:r>
      <w:r w:rsidR="009F2CB0">
        <w:rPr>
          <w:rFonts w:asciiTheme="minorHAnsi" w:hAnsiTheme="minorHAnsi"/>
          <w:bCs/>
        </w:rPr>
        <w:t>warm water CC in</w:t>
      </w:r>
      <w:r w:rsidRPr="00F954EB">
        <w:rPr>
          <w:rFonts w:asciiTheme="minorHAnsi" w:hAnsiTheme="minorHAnsi"/>
          <w:bCs/>
        </w:rPr>
        <w:t xml:space="preserve">to the long-term manatee population 100 year growth predictions illustrated a statewide maximum upper bound of around 25,000 and a minimum lower bound around 5,000 animals.  The CBM gave a likely prediction of sustaining growth based on a current </w:t>
      </w:r>
      <w:r w:rsidR="009F2CB0">
        <w:rPr>
          <w:rFonts w:asciiTheme="minorHAnsi" w:hAnsiTheme="minorHAnsi"/>
          <w:bCs/>
        </w:rPr>
        <w:t xml:space="preserve">population </w:t>
      </w:r>
      <w:r w:rsidRPr="00F954EB">
        <w:rPr>
          <w:rFonts w:asciiTheme="minorHAnsi" w:hAnsiTheme="minorHAnsi"/>
          <w:bCs/>
        </w:rPr>
        <w:t>level around 5,000 with steady growth over the next 50 years and reaching a state wide popula</w:t>
      </w:r>
      <w:r w:rsidR="008F1A1E" w:rsidRPr="00F954EB">
        <w:rPr>
          <w:rFonts w:asciiTheme="minorHAnsi" w:hAnsiTheme="minorHAnsi"/>
          <w:bCs/>
        </w:rPr>
        <w:t xml:space="preserve">tion of 10,000 that would level </w:t>
      </w:r>
      <w:r w:rsidRPr="00F954EB">
        <w:rPr>
          <w:rFonts w:asciiTheme="minorHAnsi" w:hAnsiTheme="minorHAnsi"/>
          <w:bCs/>
        </w:rPr>
        <w:t xml:space="preserve">off due to </w:t>
      </w:r>
      <w:r w:rsidR="00BE2696" w:rsidRPr="00F954EB">
        <w:rPr>
          <w:rFonts w:asciiTheme="minorHAnsi" w:hAnsiTheme="minorHAnsi"/>
          <w:bCs/>
        </w:rPr>
        <w:t>the limits</w:t>
      </w:r>
      <w:r w:rsidRPr="00F954EB">
        <w:rPr>
          <w:rFonts w:asciiTheme="minorHAnsi" w:hAnsiTheme="minorHAnsi"/>
          <w:bCs/>
        </w:rPr>
        <w:t xml:space="preserve"> </w:t>
      </w:r>
      <w:r w:rsidR="00BE2696" w:rsidRPr="00F954EB">
        <w:rPr>
          <w:rFonts w:asciiTheme="minorHAnsi" w:hAnsiTheme="minorHAnsi"/>
          <w:bCs/>
        </w:rPr>
        <w:t>of</w:t>
      </w:r>
      <w:r w:rsidRPr="00F954EB">
        <w:rPr>
          <w:rFonts w:asciiTheme="minorHAnsi" w:hAnsiTheme="minorHAnsi"/>
          <w:bCs/>
        </w:rPr>
        <w:t xml:space="preserve"> the</w:t>
      </w:r>
      <w:r w:rsidR="009F2CB0">
        <w:rPr>
          <w:rFonts w:asciiTheme="minorHAnsi" w:hAnsiTheme="minorHAnsi"/>
          <w:bCs/>
        </w:rPr>
        <w:t xml:space="preserve"> theoretically decreasing</w:t>
      </w:r>
      <w:r w:rsidRPr="00F954EB">
        <w:rPr>
          <w:rFonts w:asciiTheme="minorHAnsi" w:hAnsiTheme="minorHAnsi"/>
          <w:bCs/>
        </w:rPr>
        <w:t xml:space="preserve"> warm water CC.  </w:t>
      </w:r>
    </w:p>
    <w:p w14:paraId="1F85B03F" w14:textId="77777777" w:rsidR="009F2CB0" w:rsidRPr="00F954EB" w:rsidRDefault="009F2CB0" w:rsidP="009F2CB0">
      <w:pPr>
        <w:pStyle w:val="Default"/>
        <w:rPr>
          <w:rFonts w:asciiTheme="minorHAnsi" w:hAnsiTheme="minorHAnsi"/>
          <w:bCs/>
        </w:rPr>
      </w:pPr>
    </w:p>
    <w:p w14:paraId="66C722F9" w14:textId="77777777" w:rsidR="009F2CB0" w:rsidRPr="00F954EB" w:rsidRDefault="009F2CB0" w:rsidP="009F2CB0">
      <w:pPr>
        <w:pStyle w:val="Default"/>
        <w:jc w:val="center"/>
        <w:rPr>
          <w:rFonts w:asciiTheme="minorHAnsi" w:hAnsiTheme="minorHAnsi"/>
          <w:bCs/>
        </w:rPr>
      </w:pPr>
      <w:r w:rsidRPr="00F954EB">
        <w:rPr>
          <w:rFonts w:asciiTheme="minorHAnsi" w:hAnsiTheme="minorHAnsi"/>
          <w:bCs/>
          <w:noProof/>
        </w:rPr>
        <w:drawing>
          <wp:inline distT="0" distB="0" distL="0" distR="0" wp14:anchorId="07C160F6" wp14:editId="20B17214">
            <wp:extent cx="3505617" cy="2650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8062" cy="2652812"/>
                    </a:xfrm>
                    <a:prstGeom prst="rect">
                      <a:avLst/>
                    </a:prstGeom>
                    <a:noFill/>
                    <a:ln>
                      <a:noFill/>
                    </a:ln>
                  </pic:spPr>
                </pic:pic>
              </a:graphicData>
            </a:graphic>
          </wp:inline>
        </w:drawing>
      </w:r>
    </w:p>
    <w:p w14:paraId="00958C3E" w14:textId="77777777" w:rsidR="009F2CB0" w:rsidRPr="005C4746" w:rsidRDefault="009F2CB0" w:rsidP="009F2CB0">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p>
    <w:p w14:paraId="0C54C5A2" w14:textId="77777777" w:rsidR="00BE2696" w:rsidRDefault="00BE2696" w:rsidP="00015B89">
      <w:pPr>
        <w:pStyle w:val="Default"/>
        <w:rPr>
          <w:rFonts w:asciiTheme="minorHAnsi" w:hAnsiTheme="minorHAnsi"/>
          <w:bCs/>
        </w:rPr>
      </w:pPr>
    </w:p>
    <w:p w14:paraId="772F2515" w14:textId="77777777" w:rsidR="006636C9" w:rsidRDefault="006636C9" w:rsidP="005C4746">
      <w:pPr>
        <w:pStyle w:val="Default"/>
        <w:rPr>
          <w:rFonts w:asciiTheme="minorHAnsi" w:hAnsiTheme="minorHAnsi"/>
          <w:bCs/>
        </w:rPr>
      </w:pPr>
    </w:p>
    <w:p w14:paraId="66AE8F69" w14:textId="77777777" w:rsidR="006636C9" w:rsidRDefault="006636C9" w:rsidP="005C4746">
      <w:pPr>
        <w:pStyle w:val="Default"/>
        <w:rPr>
          <w:rFonts w:asciiTheme="minorHAnsi" w:hAnsiTheme="minorHAnsi"/>
          <w:bCs/>
        </w:rPr>
      </w:pPr>
    </w:p>
    <w:p w14:paraId="51C0A7DA" w14:textId="77777777" w:rsidR="006636C9" w:rsidRDefault="006636C9" w:rsidP="005C4746">
      <w:pPr>
        <w:pStyle w:val="Default"/>
        <w:rPr>
          <w:rFonts w:asciiTheme="minorHAnsi" w:hAnsiTheme="minorHAnsi"/>
          <w:bCs/>
        </w:rPr>
      </w:pPr>
    </w:p>
    <w:p w14:paraId="1981B422" w14:textId="77777777" w:rsidR="005C4746" w:rsidRPr="00F954EB" w:rsidRDefault="005C4746" w:rsidP="005C4746">
      <w:pPr>
        <w:pStyle w:val="Default"/>
        <w:rPr>
          <w:rFonts w:asciiTheme="minorHAnsi" w:hAnsiTheme="minorHAnsi"/>
          <w:bCs/>
        </w:rPr>
      </w:pPr>
      <w:r w:rsidRPr="00F954EB">
        <w:rPr>
          <w:rFonts w:asciiTheme="minorHAnsi" w:hAnsiTheme="minorHAnsi"/>
          <w:bCs/>
        </w:rPr>
        <w:t>Further, the CBM provided individual modeling predictions for the four regions. One region (Northwest) appeared to be unbounded while the other three exhibited approximate greatest upper bound as follows:</w:t>
      </w:r>
    </w:p>
    <w:p w14:paraId="1FE839F2" w14:textId="77777777" w:rsidR="005C4746" w:rsidRPr="00F954EB" w:rsidRDefault="005C4746" w:rsidP="005C4746">
      <w:pPr>
        <w:pStyle w:val="Default"/>
        <w:ind w:firstLine="720"/>
        <w:rPr>
          <w:rFonts w:asciiTheme="minorHAnsi" w:hAnsiTheme="minorHAnsi"/>
          <w:bCs/>
        </w:rPr>
      </w:pPr>
      <w:r w:rsidRPr="00F954EB">
        <w:rPr>
          <w:rFonts w:asciiTheme="minorHAnsi" w:hAnsiTheme="minorHAnsi"/>
          <w:bCs/>
        </w:rPr>
        <w:t xml:space="preserve">Atlantic </w:t>
      </w:r>
      <w:r w:rsidRPr="00F954EB">
        <w:rPr>
          <w:rFonts w:asciiTheme="minorHAnsi" w:hAnsiTheme="minorHAnsi"/>
          <w:bCs/>
        </w:rPr>
        <w:tab/>
      </w:r>
      <w:r w:rsidRPr="00F954EB">
        <w:rPr>
          <w:rFonts w:asciiTheme="minorHAnsi" w:hAnsiTheme="minorHAnsi"/>
          <w:bCs/>
        </w:rPr>
        <w:tab/>
        <w:t>4000</w:t>
      </w:r>
    </w:p>
    <w:p w14:paraId="2B03B83B" w14:textId="77777777" w:rsidR="005C4746" w:rsidRPr="00F954EB" w:rsidRDefault="005C4746" w:rsidP="005C4746">
      <w:pPr>
        <w:pStyle w:val="Default"/>
        <w:ind w:firstLine="720"/>
        <w:rPr>
          <w:rFonts w:asciiTheme="minorHAnsi" w:hAnsiTheme="minorHAnsi"/>
          <w:bCs/>
        </w:rPr>
      </w:pPr>
      <w:r w:rsidRPr="00F954EB">
        <w:rPr>
          <w:rFonts w:asciiTheme="minorHAnsi" w:hAnsiTheme="minorHAnsi"/>
          <w:bCs/>
        </w:rPr>
        <w:t xml:space="preserve">Southwest </w:t>
      </w:r>
      <w:r w:rsidRPr="00F954EB">
        <w:rPr>
          <w:rFonts w:asciiTheme="minorHAnsi" w:hAnsiTheme="minorHAnsi"/>
          <w:bCs/>
        </w:rPr>
        <w:tab/>
      </w:r>
      <w:r w:rsidRPr="00F954EB">
        <w:rPr>
          <w:rFonts w:asciiTheme="minorHAnsi" w:hAnsiTheme="minorHAnsi"/>
          <w:bCs/>
        </w:rPr>
        <w:tab/>
        <w:t>4000</w:t>
      </w:r>
    </w:p>
    <w:p w14:paraId="48BF7591" w14:textId="77777777" w:rsidR="005C4746" w:rsidRPr="00F954EB" w:rsidRDefault="005C4746" w:rsidP="005C4746">
      <w:pPr>
        <w:pStyle w:val="Default"/>
        <w:ind w:firstLine="720"/>
        <w:rPr>
          <w:rFonts w:asciiTheme="minorHAnsi" w:hAnsiTheme="minorHAnsi"/>
          <w:bCs/>
        </w:rPr>
      </w:pPr>
      <w:r w:rsidRPr="00F954EB">
        <w:rPr>
          <w:rFonts w:asciiTheme="minorHAnsi" w:hAnsiTheme="minorHAnsi"/>
          <w:bCs/>
        </w:rPr>
        <w:t xml:space="preserve">Upper St. Johns </w:t>
      </w:r>
      <w:r w:rsidRPr="00F954EB">
        <w:rPr>
          <w:rFonts w:asciiTheme="minorHAnsi" w:hAnsiTheme="minorHAnsi"/>
          <w:bCs/>
        </w:rPr>
        <w:tab/>
        <w:t>6000</w:t>
      </w:r>
    </w:p>
    <w:p w14:paraId="3011375D" w14:textId="77777777" w:rsidR="009F2CB0" w:rsidRDefault="009F2CB0" w:rsidP="005C4746">
      <w:pPr>
        <w:pStyle w:val="Default"/>
        <w:rPr>
          <w:rFonts w:asciiTheme="minorHAnsi" w:hAnsiTheme="minorHAnsi"/>
          <w:bCs/>
        </w:rPr>
      </w:pPr>
    </w:p>
    <w:p w14:paraId="13BB479C" w14:textId="77777777" w:rsidR="005C4746" w:rsidRPr="00F954EB" w:rsidRDefault="005C4746" w:rsidP="005C4746">
      <w:pPr>
        <w:pStyle w:val="Default"/>
        <w:rPr>
          <w:rFonts w:asciiTheme="minorHAnsi" w:hAnsiTheme="minorHAnsi"/>
          <w:bCs/>
        </w:rPr>
      </w:pPr>
      <w:r w:rsidRPr="00F954EB">
        <w:rPr>
          <w:rFonts w:asciiTheme="minorHAnsi" w:hAnsiTheme="minorHAnsi"/>
          <w:bCs/>
        </w:rPr>
        <w:t>Looking at the combined predicted population values, we again see the population leveling off at around 10,000 animals due to warm water CC.</w:t>
      </w:r>
    </w:p>
    <w:p w14:paraId="12B6E60B" w14:textId="77777777" w:rsidR="005C4746" w:rsidRPr="00F954EB" w:rsidRDefault="005C4746" w:rsidP="005C4746">
      <w:pPr>
        <w:pStyle w:val="Default"/>
        <w:rPr>
          <w:rFonts w:asciiTheme="minorHAnsi" w:hAnsiTheme="minorHAnsi"/>
          <w:bCs/>
        </w:rPr>
      </w:pPr>
    </w:p>
    <w:p w14:paraId="6E8F8A58" w14:textId="77777777" w:rsidR="005C4746" w:rsidRPr="00F954EB" w:rsidRDefault="005C4746" w:rsidP="00BE2696">
      <w:pPr>
        <w:pStyle w:val="Default"/>
        <w:jc w:val="center"/>
        <w:rPr>
          <w:rFonts w:asciiTheme="minorHAnsi" w:hAnsiTheme="minorHAnsi"/>
          <w:bCs/>
        </w:rPr>
      </w:pPr>
    </w:p>
    <w:p w14:paraId="733157A4" w14:textId="77777777" w:rsidR="00D763D7" w:rsidRPr="00F954EB" w:rsidRDefault="00D763D7" w:rsidP="00D763D7">
      <w:pPr>
        <w:pStyle w:val="Default"/>
        <w:jc w:val="center"/>
        <w:rPr>
          <w:rFonts w:asciiTheme="minorHAnsi" w:hAnsiTheme="minorHAnsi"/>
          <w:bCs/>
        </w:rPr>
      </w:pPr>
      <w:r w:rsidRPr="00F954EB">
        <w:rPr>
          <w:rFonts w:asciiTheme="minorHAnsi" w:hAnsiTheme="minorHAnsi"/>
          <w:bCs/>
          <w:noProof/>
        </w:rPr>
        <w:drawing>
          <wp:inline distT="0" distB="0" distL="0" distR="0" wp14:anchorId="40FDC092" wp14:editId="29C501DE">
            <wp:extent cx="3403600" cy="257878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836" cy="2579721"/>
                    </a:xfrm>
                    <a:prstGeom prst="rect">
                      <a:avLst/>
                    </a:prstGeom>
                    <a:noFill/>
                    <a:ln>
                      <a:noFill/>
                    </a:ln>
                  </pic:spPr>
                </pic:pic>
              </a:graphicData>
            </a:graphic>
          </wp:inline>
        </w:drawing>
      </w:r>
    </w:p>
    <w:p w14:paraId="0B409401" w14:textId="67DC4C0B" w:rsidR="005C4746" w:rsidRPr="005C4746" w:rsidRDefault="005C4746" w:rsidP="005C4746">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p>
    <w:p w14:paraId="7A9041FE" w14:textId="77777777" w:rsidR="005C4746" w:rsidRDefault="005C4746" w:rsidP="00D763D7">
      <w:pPr>
        <w:pStyle w:val="Default"/>
        <w:rPr>
          <w:rFonts w:asciiTheme="minorHAnsi" w:hAnsiTheme="minorHAnsi"/>
          <w:bCs/>
        </w:rPr>
      </w:pPr>
    </w:p>
    <w:p w14:paraId="1E539A8A" w14:textId="51C2177F" w:rsidR="009F2CB0" w:rsidRDefault="00D763D7" w:rsidP="00F4371C">
      <w:pPr>
        <w:pStyle w:val="Default"/>
        <w:rPr>
          <w:rFonts w:asciiTheme="minorHAnsi" w:hAnsiTheme="minorHAnsi"/>
        </w:rPr>
      </w:pPr>
      <w:r w:rsidRPr="00F954EB">
        <w:rPr>
          <w:rFonts w:asciiTheme="minorHAnsi" w:hAnsiTheme="minorHAnsi"/>
          <w:bCs/>
        </w:rPr>
        <w:t>Looking at the combined predicted population values, we again see the population leveling off at around 10,000 animals due to warm water CC.</w:t>
      </w:r>
      <w:r w:rsidR="009F2CB0">
        <w:rPr>
          <w:rFonts w:asciiTheme="minorHAnsi" w:hAnsiTheme="minorHAnsi"/>
          <w:bCs/>
        </w:rPr>
        <w:t xml:space="preserve">  </w:t>
      </w:r>
      <w:r w:rsidR="00C4271B" w:rsidRPr="00F954EB">
        <w:rPr>
          <w:rFonts w:asciiTheme="minorHAnsi" w:hAnsiTheme="minorHAnsi"/>
        </w:rPr>
        <w:t xml:space="preserve">These numbers have direct relevance to the </w:t>
      </w:r>
      <w:r w:rsidR="00BE2696" w:rsidRPr="00F954EB">
        <w:rPr>
          <w:rFonts w:asciiTheme="minorHAnsi" w:hAnsiTheme="minorHAnsi"/>
        </w:rPr>
        <w:t xml:space="preserve">overall </w:t>
      </w:r>
      <w:r w:rsidR="006636C9">
        <w:rPr>
          <w:rFonts w:asciiTheme="minorHAnsi" w:hAnsiTheme="minorHAnsi"/>
        </w:rPr>
        <w:t xml:space="preserve">statewide/regional </w:t>
      </w:r>
      <w:r w:rsidR="00BE2696" w:rsidRPr="00F954EB">
        <w:rPr>
          <w:rFonts w:asciiTheme="minorHAnsi" w:hAnsiTheme="minorHAnsi"/>
        </w:rPr>
        <w:t>manatee</w:t>
      </w:r>
      <w:r w:rsidR="00C4271B" w:rsidRPr="00F954EB">
        <w:rPr>
          <w:rFonts w:asciiTheme="minorHAnsi" w:hAnsiTheme="minorHAnsi"/>
        </w:rPr>
        <w:t xml:space="preserve"> CC but </w:t>
      </w:r>
      <w:r w:rsidR="006636C9">
        <w:rPr>
          <w:rFonts w:asciiTheme="minorHAnsi" w:hAnsiTheme="minorHAnsi"/>
        </w:rPr>
        <w:t>only from the perspective of warm water capacity.  This look at CC</w:t>
      </w:r>
      <w:r w:rsidR="007C35C2">
        <w:rPr>
          <w:rFonts w:asciiTheme="minorHAnsi" w:hAnsiTheme="minorHAnsi"/>
        </w:rPr>
        <w:t xml:space="preserve"> </w:t>
      </w:r>
      <w:r w:rsidR="00C4271B" w:rsidRPr="00F954EB">
        <w:rPr>
          <w:rFonts w:asciiTheme="minorHAnsi" w:hAnsiTheme="minorHAnsi"/>
        </w:rPr>
        <w:t>do</w:t>
      </w:r>
      <w:r w:rsidR="007C35C2">
        <w:rPr>
          <w:rFonts w:asciiTheme="minorHAnsi" w:hAnsiTheme="minorHAnsi"/>
        </w:rPr>
        <w:t>es</w:t>
      </w:r>
      <w:r w:rsidR="00C4271B" w:rsidRPr="00F954EB">
        <w:rPr>
          <w:rFonts w:asciiTheme="minorHAnsi" w:hAnsiTheme="minorHAnsi"/>
        </w:rPr>
        <w:t xml:space="preserve"> not include any limitations with respect to forage. </w:t>
      </w:r>
      <w:r w:rsidR="00246E58" w:rsidRPr="00F954EB">
        <w:rPr>
          <w:rFonts w:asciiTheme="minorHAnsi" w:hAnsiTheme="minorHAnsi"/>
        </w:rPr>
        <w:t xml:space="preserve"> </w:t>
      </w:r>
    </w:p>
    <w:p w14:paraId="1E0C4538" w14:textId="77777777" w:rsidR="007C35C2" w:rsidRDefault="007C35C2" w:rsidP="00F4371C">
      <w:pPr>
        <w:pStyle w:val="Default"/>
        <w:rPr>
          <w:rFonts w:asciiTheme="minorHAnsi" w:hAnsiTheme="minorHAnsi"/>
        </w:rPr>
      </w:pPr>
    </w:p>
    <w:p w14:paraId="57C84644" w14:textId="786BA88D" w:rsidR="007C35C2" w:rsidRDefault="007C35C2" w:rsidP="00363354">
      <w:r>
        <w:rPr>
          <w:rFonts w:cs="Arial"/>
          <w:color w:val="0A1954"/>
        </w:rPr>
        <w:t>For those who might argue that human activity, such as mortality attributed to watercraft, or who might also conjecture that a sudden change in the historicall</w:t>
      </w:r>
      <w:r w:rsidR="00363354">
        <w:rPr>
          <w:rFonts w:cs="Arial"/>
          <w:color w:val="0A1954"/>
        </w:rPr>
        <w:t>y observed frequency of red tide events has an impact on overall population or even more implausible, on OSP or CC, one need only look at the following summary charts from the CBM to see that these events have been incorporated into their effects have been calculated in the CBM predictions.  In fact, if for example, all man made mortality due to watercraft were imme</w:t>
      </w:r>
      <w:r w:rsidR="00E97C8C">
        <w:rPr>
          <w:rFonts w:cs="Arial"/>
          <w:color w:val="0A1954"/>
        </w:rPr>
        <w:t>diately eliminated for all time the affect on the prediction of ‘quasi-extinction’ would be about of a percent (0.06%) improvement over the previously stated probability of 0.10% reducing the probability of quasi-extinction predi</w:t>
      </w:r>
      <w:r w:rsidR="002065F9">
        <w:rPr>
          <w:rFonts w:cs="Arial"/>
          <w:color w:val="0A1954"/>
        </w:rPr>
        <w:t>ction</w:t>
      </w:r>
      <w:r w:rsidR="00E97C8C">
        <w:rPr>
          <w:rFonts w:cs="Arial"/>
          <w:color w:val="0A1954"/>
        </w:rPr>
        <w:t xml:space="preserve"> to .094%.  Red tide elimination would improve probability </w:t>
      </w:r>
      <w:r w:rsidR="002065F9">
        <w:rPr>
          <w:rFonts w:cs="Arial"/>
          <w:color w:val="0A1954"/>
        </w:rPr>
        <w:t xml:space="preserve">of quasi-extinction </w:t>
      </w:r>
      <w:r w:rsidR="00E97C8C">
        <w:rPr>
          <w:rFonts w:cs="Arial"/>
          <w:color w:val="0A1954"/>
        </w:rPr>
        <w:t>by 0.64%</w:t>
      </w:r>
      <w:r w:rsidR="002065F9">
        <w:rPr>
          <w:rFonts w:cs="Arial"/>
          <w:color w:val="0A1954"/>
        </w:rPr>
        <w:t xml:space="preserve">, further </w:t>
      </w:r>
      <w:r w:rsidR="00E97C8C">
        <w:rPr>
          <w:rFonts w:cs="Arial"/>
          <w:color w:val="0A1954"/>
        </w:rPr>
        <w:t xml:space="preserve">reducing the </w:t>
      </w:r>
      <w:r w:rsidR="002065F9">
        <w:rPr>
          <w:rFonts w:cs="Arial"/>
          <w:color w:val="0A1954"/>
        </w:rPr>
        <w:t xml:space="preserve">0.10% </w:t>
      </w:r>
      <w:r w:rsidR="00E97C8C">
        <w:rPr>
          <w:rFonts w:cs="Arial"/>
          <w:color w:val="0A1954"/>
        </w:rPr>
        <w:lastRenderedPageBreak/>
        <w:t>probability of ‘quasi –extinction to 0.0</w:t>
      </w:r>
      <w:r w:rsidR="008E2CD5">
        <w:rPr>
          <w:rFonts w:cs="Arial"/>
          <w:color w:val="0A1954"/>
        </w:rPr>
        <w:t>36</w:t>
      </w:r>
      <w:r w:rsidR="00E97C8C">
        <w:rPr>
          <w:rFonts w:cs="Arial"/>
          <w:color w:val="0A1954"/>
        </w:rPr>
        <w:t>%</w:t>
      </w:r>
      <w:r w:rsidR="002065F9">
        <w:rPr>
          <w:rFonts w:cs="Arial"/>
          <w:color w:val="0A1954"/>
        </w:rPr>
        <w:t xml:space="preserve">.  These are negligible impacts </w:t>
      </w:r>
      <w:r w:rsidR="008E2CD5">
        <w:rPr>
          <w:rFonts w:cs="Arial"/>
          <w:color w:val="0A1954"/>
        </w:rPr>
        <w:t xml:space="preserve">and therefore </w:t>
      </w:r>
      <w:r w:rsidR="002065F9">
        <w:rPr>
          <w:rFonts w:cs="Arial"/>
          <w:color w:val="0A1954"/>
        </w:rPr>
        <w:t>watercraft and red-tide</w:t>
      </w:r>
      <w:r w:rsidR="008E2CD5">
        <w:rPr>
          <w:rFonts w:cs="Arial"/>
          <w:color w:val="0A1954"/>
        </w:rPr>
        <w:t xml:space="preserve"> considerations </w:t>
      </w:r>
      <w:r w:rsidR="002065F9">
        <w:rPr>
          <w:rFonts w:cs="Arial"/>
          <w:color w:val="0A1954"/>
        </w:rPr>
        <w:t>are not relevant to calculations of</w:t>
      </w:r>
      <w:r w:rsidR="008E2CD5">
        <w:rPr>
          <w:rFonts w:cs="Arial"/>
          <w:color w:val="0A1954"/>
        </w:rPr>
        <w:t xml:space="preserve"> OSP or CC.</w:t>
      </w:r>
    </w:p>
    <w:p w14:paraId="5E0DDF25" w14:textId="77777777" w:rsidR="009F2CB0" w:rsidRDefault="009F2CB0" w:rsidP="00F4371C">
      <w:pPr>
        <w:pStyle w:val="Default"/>
        <w:rPr>
          <w:rFonts w:asciiTheme="minorHAnsi" w:hAnsiTheme="minorHAnsi"/>
        </w:rPr>
      </w:pPr>
    </w:p>
    <w:p w14:paraId="31484ADB" w14:textId="77777777" w:rsidR="008E2CD5" w:rsidRDefault="00363354" w:rsidP="008E2CD5">
      <w:pPr>
        <w:pStyle w:val="Default"/>
        <w:jc w:val="center"/>
        <w:rPr>
          <w:rFonts w:asciiTheme="minorHAnsi" w:hAnsiTheme="minorHAnsi"/>
        </w:rPr>
      </w:pPr>
      <w:r>
        <w:rPr>
          <w:rFonts w:asciiTheme="minorHAnsi" w:hAnsiTheme="minorHAnsi"/>
          <w:noProof/>
        </w:rPr>
        <w:drawing>
          <wp:inline distT="0" distB="0" distL="0" distR="0" wp14:anchorId="411D6F86" wp14:editId="195AC413">
            <wp:extent cx="3521760" cy="2667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geThreats.tiff"/>
                    <pic:cNvPicPr/>
                  </pic:nvPicPr>
                  <pic:blipFill>
                    <a:blip r:embed="rId9">
                      <a:extLst>
                        <a:ext uri="{28A0092B-C50C-407E-A947-70E740481C1C}">
                          <a14:useLocalDpi xmlns:a14="http://schemas.microsoft.com/office/drawing/2010/main" val="0"/>
                        </a:ext>
                      </a:extLst>
                    </a:blip>
                    <a:stretch>
                      <a:fillRect/>
                    </a:stretch>
                  </pic:blipFill>
                  <pic:spPr>
                    <a:xfrm>
                      <a:off x="0" y="0"/>
                      <a:ext cx="3522028" cy="2667203"/>
                    </a:xfrm>
                    <a:prstGeom prst="rect">
                      <a:avLst/>
                    </a:prstGeom>
                  </pic:spPr>
                </pic:pic>
              </a:graphicData>
            </a:graphic>
          </wp:inline>
        </w:drawing>
      </w:r>
    </w:p>
    <w:p w14:paraId="5BAE29B9" w14:textId="77777777" w:rsidR="008E2CD5" w:rsidRPr="005C4746" w:rsidRDefault="008E2CD5" w:rsidP="008E2CD5">
      <w:pPr>
        <w:widowControl w:val="0"/>
        <w:tabs>
          <w:tab w:val="left" w:pos="7020"/>
          <w:tab w:val="left" w:pos="7380"/>
        </w:tabs>
        <w:autoSpaceDE w:val="0"/>
        <w:autoSpaceDN w:val="0"/>
        <w:adjustRightInd w:val="0"/>
        <w:ind w:left="1620" w:right="1260"/>
        <w:rPr>
          <w:rFonts w:cs="Times New Roman"/>
          <w:sz w:val="18"/>
          <w:szCs w:val="18"/>
        </w:rPr>
      </w:pPr>
      <w:r w:rsidRPr="005C4746">
        <w:rPr>
          <w:rFonts w:cs="Times New Roman"/>
          <w:sz w:val="18"/>
          <w:szCs w:val="18"/>
        </w:rPr>
        <w:t xml:space="preserve">Source:  Manatee Threats Analysis, Michael C. </w:t>
      </w:r>
      <w:proofErr w:type="spellStart"/>
      <w:r w:rsidRPr="005C4746">
        <w:rPr>
          <w:rFonts w:cs="Times New Roman"/>
          <w:sz w:val="18"/>
          <w:szCs w:val="18"/>
        </w:rPr>
        <w:t>Runge</w:t>
      </w:r>
      <w:proofErr w:type="spellEnd"/>
      <w:r w:rsidRPr="005C4746">
        <w:rPr>
          <w:rFonts w:cs="Times New Roman"/>
          <w:sz w:val="18"/>
          <w:szCs w:val="18"/>
        </w:rPr>
        <w:t xml:space="preserve">, USGS, presented </w:t>
      </w:r>
      <w:r>
        <w:rPr>
          <w:rFonts w:cs="Times New Roman"/>
          <w:sz w:val="18"/>
          <w:szCs w:val="18"/>
        </w:rPr>
        <w:br/>
      </w:r>
      <w:r w:rsidRPr="005C4746">
        <w:rPr>
          <w:rFonts w:cs="Times New Roman"/>
          <w:sz w:val="18"/>
          <w:szCs w:val="18"/>
        </w:rPr>
        <w:t>to the Manatee Forum, May 2013</w:t>
      </w:r>
    </w:p>
    <w:p w14:paraId="083456D6" w14:textId="77777777" w:rsidR="008E2CD5" w:rsidRDefault="008E2CD5" w:rsidP="00F4371C">
      <w:pPr>
        <w:pStyle w:val="Default"/>
        <w:rPr>
          <w:rFonts w:asciiTheme="minorHAnsi" w:hAnsiTheme="minorHAnsi"/>
        </w:rPr>
      </w:pPr>
    </w:p>
    <w:p w14:paraId="784027F9" w14:textId="77777777" w:rsidR="002065F9" w:rsidRDefault="00246E58" w:rsidP="00F4371C">
      <w:pPr>
        <w:pStyle w:val="Default"/>
        <w:rPr>
          <w:rFonts w:asciiTheme="minorHAnsi" w:hAnsiTheme="minorHAnsi"/>
          <w:bCs/>
        </w:rPr>
      </w:pPr>
      <w:r w:rsidRPr="00F954EB">
        <w:rPr>
          <w:rFonts w:asciiTheme="minorHAnsi" w:hAnsiTheme="minorHAnsi"/>
        </w:rPr>
        <w:t>I</w:t>
      </w:r>
      <w:r w:rsidR="00FD7B91" w:rsidRPr="00F954EB">
        <w:rPr>
          <w:rFonts w:asciiTheme="minorHAnsi" w:hAnsiTheme="minorHAnsi"/>
        </w:rPr>
        <w:t xml:space="preserve">n </w:t>
      </w:r>
      <w:r w:rsidR="00F4371C" w:rsidRPr="00F954EB">
        <w:rPr>
          <w:rFonts w:asciiTheme="minorHAnsi" w:hAnsiTheme="minorHAnsi"/>
        </w:rPr>
        <w:t>June 2012</w:t>
      </w:r>
      <w:r w:rsidR="00FD7B91" w:rsidRPr="00F954EB">
        <w:rPr>
          <w:rFonts w:asciiTheme="minorHAnsi" w:hAnsiTheme="minorHAnsi"/>
        </w:rPr>
        <w:t>,</w:t>
      </w:r>
      <w:r w:rsidR="00F4371C" w:rsidRPr="00F954EB">
        <w:rPr>
          <w:rFonts w:asciiTheme="minorHAnsi" w:hAnsiTheme="minorHAnsi"/>
        </w:rPr>
        <w:t xml:space="preserve"> </w:t>
      </w:r>
      <w:proofErr w:type="spellStart"/>
      <w:r w:rsidR="00F4371C" w:rsidRPr="00F954EB">
        <w:rPr>
          <w:rFonts w:asciiTheme="minorHAnsi" w:hAnsiTheme="minorHAnsi"/>
        </w:rPr>
        <w:t>Provancha</w:t>
      </w:r>
      <w:proofErr w:type="spellEnd"/>
      <w:r w:rsidR="00F4371C" w:rsidRPr="00F954EB">
        <w:rPr>
          <w:rFonts w:asciiTheme="minorHAnsi" w:hAnsiTheme="minorHAnsi"/>
        </w:rPr>
        <w:t>, et al</w:t>
      </w:r>
      <w:r w:rsidR="00FD7B91" w:rsidRPr="00F954EB">
        <w:rPr>
          <w:rFonts w:asciiTheme="minorHAnsi" w:hAnsiTheme="minorHAnsi"/>
        </w:rPr>
        <w:t>,</w:t>
      </w:r>
      <w:r w:rsidR="00F4371C" w:rsidRPr="00F954EB">
        <w:rPr>
          <w:rFonts w:asciiTheme="minorHAnsi" w:hAnsiTheme="minorHAnsi"/>
        </w:rPr>
        <w:t xml:space="preserve"> published </w:t>
      </w:r>
      <w:r w:rsidR="00F4371C" w:rsidRPr="00F954EB">
        <w:rPr>
          <w:rFonts w:asciiTheme="minorHAnsi" w:hAnsiTheme="minorHAnsi"/>
          <w:bCs/>
          <w:i/>
          <w:u w:val="single"/>
        </w:rPr>
        <w:t>Carrying Capacity Assessment of Manatee Forage and Warm-water Associated with Eleven Florida Sites</w:t>
      </w:r>
      <w:r w:rsidR="00F4371C" w:rsidRPr="00F954EB">
        <w:rPr>
          <w:rFonts w:asciiTheme="minorHAnsi" w:hAnsiTheme="minorHAnsi"/>
          <w:bCs/>
        </w:rPr>
        <w:t xml:space="preserve"> </w:t>
      </w:r>
      <w:r w:rsidR="00C91192" w:rsidRPr="00F954EB">
        <w:rPr>
          <w:rFonts w:asciiTheme="minorHAnsi" w:hAnsiTheme="minorHAnsi"/>
          <w:bCs/>
        </w:rPr>
        <w:t xml:space="preserve">which was submitted </w:t>
      </w:r>
      <w:r w:rsidR="00F4371C" w:rsidRPr="00F954EB">
        <w:rPr>
          <w:rFonts w:asciiTheme="minorHAnsi" w:hAnsiTheme="minorHAnsi"/>
          <w:bCs/>
        </w:rPr>
        <w:t>to the USFWS</w:t>
      </w:r>
      <w:r w:rsidR="00C91192" w:rsidRPr="00F954EB">
        <w:rPr>
          <w:rFonts w:asciiTheme="minorHAnsi" w:hAnsiTheme="minorHAnsi"/>
          <w:bCs/>
        </w:rPr>
        <w:t xml:space="preserve"> by Innovative Health Applications, LLC (IHA)</w:t>
      </w:r>
      <w:r w:rsidR="00F4371C" w:rsidRPr="00F954EB">
        <w:rPr>
          <w:rFonts w:asciiTheme="minorHAnsi" w:hAnsiTheme="minorHAnsi"/>
          <w:bCs/>
        </w:rPr>
        <w:t xml:space="preserve">.  </w:t>
      </w:r>
      <w:r w:rsidR="002065F9">
        <w:rPr>
          <w:rFonts w:asciiTheme="minorHAnsi" w:hAnsiTheme="minorHAnsi"/>
          <w:bCs/>
        </w:rPr>
        <w:t>Even though the intent of the study was to examine warm water CC, the authors recognized the availability of nearby SAV for forage as another primary consideration in determining the limits on CC.</w:t>
      </w:r>
    </w:p>
    <w:p w14:paraId="519CB4FD" w14:textId="77777777" w:rsidR="002065F9" w:rsidRDefault="002065F9" w:rsidP="00F4371C">
      <w:pPr>
        <w:pStyle w:val="Default"/>
        <w:rPr>
          <w:rFonts w:asciiTheme="minorHAnsi" w:hAnsiTheme="minorHAnsi"/>
          <w:bCs/>
        </w:rPr>
      </w:pPr>
    </w:p>
    <w:p w14:paraId="05D71954" w14:textId="5034133D" w:rsidR="007C39CF" w:rsidRPr="00F954EB" w:rsidRDefault="00F4371C" w:rsidP="00F4371C">
      <w:pPr>
        <w:pStyle w:val="Default"/>
        <w:rPr>
          <w:rFonts w:asciiTheme="minorHAnsi" w:hAnsiTheme="minorHAnsi"/>
          <w:bCs/>
        </w:rPr>
      </w:pPr>
      <w:r w:rsidRPr="00F954EB">
        <w:rPr>
          <w:rFonts w:asciiTheme="minorHAnsi" w:hAnsiTheme="minorHAnsi"/>
          <w:bCs/>
        </w:rPr>
        <w:t xml:space="preserve">This </w:t>
      </w:r>
      <w:r w:rsidR="007C39CF" w:rsidRPr="00F954EB">
        <w:rPr>
          <w:rFonts w:asciiTheme="minorHAnsi" w:hAnsiTheme="minorHAnsi"/>
          <w:bCs/>
        </w:rPr>
        <w:t>IHA s</w:t>
      </w:r>
      <w:r w:rsidRPr="00F954EB">
        <w:rPr>
          <w:rFonts w:asciiTheme="minorHAnsi" w:hAnsiTheme="minorHAnsi"/>
          <w:bCs/>
        </w:rPr>
        <w:t xml:space="preserve">tudy examined </w:t>
      </w:r>
      <w:r w:rsidR="002065F9">
        <w:rPr>
          <w:rFonts w:asciiTheme="minorHAnsi" w:hAnsiTheme="minorHAnsi"/>
          <w:bCs/>
        </w:rPr>
        <w:t>warm water CC while evaluating these two basic limiting capacities</w:t>
      </w:r>
      <w:r w:rsidR="004A23B9" w:rsidRPr="00F954EB">
        <w:rPr>
          <w:rFonts w:asciiTheme="minorHAnsi" w:hAnsiTheme="minorHAnsi"/>
          <w:bCs/>
        </w:rPr>
        <w:t xml:space="preserve">: </w:t>
      </w:r>
    </w:p>
    <w:p w14:paraId="3BC44826" w14:textId="3FF70BAA" w:rsidR="007C39CF" w:rsidRPr="00F954EB" w:rsidRDefault="004A23B9" w:rsidP="007C39CF">
      <w:pPr>
        <w:pStyle w:val="Default"/>
        <w:ind w:left="720"/>
        <w:rPr>
          <w:rFonts w:asciiTheme="minorHAnsi" w:hAnsiTheme="minorHAnsi"/>
          <w:bCs/>
        </w:rPr>
      </w:pPr>
      <w:r w:rsidRPr="00F954EB">
        <w:rPr>
          <w:rFonts w:asciiTheme="minorHAnsi" w:hAnsiTheme="minorHAnsi"/>
          <w:bCs/>
        </w:rPr>
        <w:t xml:space="preserve">1) What is the </w:t>
      </w:r>
      <w:r w:rsidR="008F1A1E" w:rsidRPr="00F954EB">
        <w:rPr>
          <w:rFonts w:asciiTheme="minorHAnsi" w:hAnsiTheme="minorHAnsi"/>
          <w:bCs/>
          <w:i/>
        </w:rPr>
        <w:t>Site</w:t>
      </w:r>
      <w:r w:rsidR="008F1A1E" w:rsidRPr="00F954EB">
        <w:rPr>
          <w:rFonts w:asciiTheme="minorHAnsi" w:hAnsiTheme="minorHAnsi"/>
          <w:bCs/>
        </w:rPr>
        <w:t xml:space="preserve"> </w:t>
      </w:r>
      <w:r w:rsidR="00317AAE">
        <w:rPr>
          <w:rFonts w:asciiTheme="minorHAnsi" w:hAnsiTheme="minorHAnsi"/>
          <w:bCs/>
        </w:rPr>
        <w:t>capacity</w:t>
      </w:r>
      <w:r w:rsidRPr="00F954EB">
        <w:rPr>
          <w:rFonts w:asciiTheme="minorHAnsi" w:hAnsiTheme="minorHAnsi"/>
          <w:bCs/>
        </w:rPr>
        <w:t>? (How many manatees could volumetrically gather in the warm refuge?)</w:t>
      </w:r>
    </w:p>
    <w:p w14:paraId="57CCFF47" w14:textId="777BC024" w:rsidR="00FD7B91" w:rsidRPr="00F954EB" w:rsidRDefault="004A23B9" w:rsidP="007C39CF">
      <w:pPr>
        <w:pStyle w:val="Default"/>
        <w:ind w:left="720"/>
        <w:rPr>
          <w:rFonts w:asciiTheme="minorHAnsi" w:hAnsiTheme="minorHAnsi"/>
        </w:rPr>
      </w:pPr>
      <w:r w:rsidRPr="00F954EB">
        <w:rPr>
          <w:rFonts w:asciiTheme="minorHAnsi" w:hAnsiTheme="minorHAnsi"/>
          <w:bCs/>
        </w:rPr>
        <w:t xml:space="preserve">2) What is the </w:t>
      </w:r>
      <w:r w:rsidR="002065F9" w:rsidRPr="002065F9">
        <w:rPr>
          <w:rFonts w:asciiTheme="minorHAnsi" w:hAnsiTheme="minorHAnsi"/>
          <w:bCs/>
          <w:i/>
        </w:rPr>
        <w:t>Forage</w:t>
      </w:r>
      <w:r w:rsidR="002065F9">
        <w:rPr>
          <w:rFonts w:asciiTheme="minorHAnsi" w:hAnsiTheme="minorHAnsi"/>
          <w:bCs/>
        </w:rPr>
        <w:t xml:space="preserve"> </w:t>
      </w:r>
      <w:r w:rsidR="00317AAE">
        <w:rPr>
          <w:rFonts w:asciiTheme="minorHAnsi" w:hAnsiTheme="minorHAnsi"/>
          <w:bCs/>
        </w:rPr>
        <w:t>capacity</w:t>
      </w:r>
      <w:r w:rsidRPr="00F954EB">
        <w:rPr>
          <w:rFonts w:asciiTheme="minorHAnsi" w:hAnsiTheme="minorHAnsi"/>
          <w:bCs/>
        </w:rPr>
        <w:t xml:space="preserve"> o</w:t>
      </w:r>
      <w:r w:rsidR="00FD7B91" w:rsidRPr="00F954EB">
        <w:rPr>
          <w:rFonts w:asciiTheme="minorHAnsi" w:hAnsiTheme="minorHAnsi"/>
          <w:bCs/>
        </w:rPr>
        <w:t xml:space="preserve">f the nearby available </w:t>
      </w:r>
      <w:r w:rsidR="002065F9" w:rsidRPr="002065F9">
        <w:rPr>
          <w:rFonts w:asciiTheme="minorHAnsi" w:hAnsiTheme="minorHAnsi"/>
          <w:bCs/>
        </w:rPr>
        <w:t>SAV</w:t>
      </w:r>
      <w:r w:rsidR="00FD7B91" w:rsidRPr="00F954EB">
        <w:rPr>
          <w:rFonts w:asciiTheme="minorHAnsi" w:hAnsiTheme="minorHAnsi"/>
          <w:bCs/>
        </w:rPr>
        <w:t xml:space="preserve">.  </w:t>
      </w:r>
    </w:p>
    <w:p w14:paraId="1F8976E6" w14:textId="77777777" w:rsidR="004A23B9" w:rsidRPr="00F954EB" w:rsidRDefault="004A23B9" w:rsidP="00F4371C">
      <w:pPr>
        <w:pStyle w:val="Default"/>
        <w:rPr>
          <w:rFonts w:asciiTheme="minorHAnsi" w:hAnsiTheme="minorHAnsi"/>
          <w:bCs/>
        </w:rPr>
      </w:pPr>
    </w:p>
    <w:p w14:paraId="0E1D0A7D" w14:textId="7B0CE8FD" w:rsidR="002F2FC3" w:rsidRPr="00F954EB" w:rsidRDefault="00C91192" w:rsidP="00F4371C">
      <w:pPr>
        <w:pStyle w:val="Default"/>
        <w:rPr>
          <w:rFonts w:asciiTheme="minorHAnsi" w:hAnsiTheme="minorHAnsi"/>
          <w:bCs/>
        </w:rPr>
      </w:pPr>
      <w:r w:rsidRPr="00F954EB">
        <w:rPr>
          <w:rFonts w:asciiTheme="minorHAnsi" w:hAnsiTheme="minorHAnsi"/>
          <w:bCs/>
        </w:rPr>
        <w:t xml:space="preserve">The eleven sites studied by the IHA group are probably the most significant natural sources of warm water </w:t>
      </w:r>
      <w:r w:rsidR="007C39CF" w:rsidRPr="00F954EB">
        <w:rPr>
          <w:rFonts w:asciiTheme="minorHAnsi" w:hAnsiTheme="minorHAnsi"/>
          <w:bCs/>
        </w:rPr>
        <w:t xml:space="preserve">in the overall manatee habitat.  Understanding the CC associated with them is </w:t>
      </w:r>
      <w:r w:rsidRPr="00F954EB">
        <w:rPr>
          <w:rFonts w:asciiTheme="minorHAnsi" w:hAnsiTheme="minorHAnsi"/>
          <w:bCs/>
        </w:rPr>
        <w:t xml:space="preserve">of importance due to the </w:t>
      </w:r>
      <w:r w:rsidR="002065F9">
        <w:rPr>
          <w:rFonts w:asciiTheme="minorHAnsi" w:hAnsiTheme="minorHAnsi"/>
          <w:bCs/>
        </w:rPr>
        <w:t xml:space="preserve">long-term </w:t>
      </w:r>
      <w:r w:rsidRPr="00F954EB">
        <w:rPr>
          <w:rFonts w:asciiTheme="minorHAnsi" w:hAnsiTheme="minorHAnsi"/>
          <w:bCs/>
        </w:rPr>
        <w:t xml:space="preserve">potential </w:t>
      </w:r>
      <w:r w:rsidR="007C39CF" w:rsidRPr="00F954EB">
        <w:rPr>
          <w:rFonts w:asciiTheme="minorHAnsi" w:hAnsiTheme="minorHAnsi"/>
          <w:bCs/>
        </w:rPr>
        <w:t xml:space="preserve">shut down of </w:t>
      </w:r>
      <w:r w:rsidR="00BE2696" w:rsidRPr="00F954EB">
        <w:rPr>
          <w:rFonts w:asciiTheme="minorHAnsi" w:hAnsiTheme="minorHAnsi"/>
          <w:bCs/>
        </w:rPr>
        <w:t>some or all</w:t>
      </w:r>
      <w:r w:rsidR="007C39CF" w:rsidRPr="00F954EB">
        <w:rPr>
          <w:rFonts w:asciiTheme="minorHAnsi" w:hAnsiTheme="minorHAnsi"/>
          <w:bCs/>
        </w:rPr>
        <w:t xml:space="preserve"> manmade</w:t>
      </w:r>
      <w:r w:rsidRPr="00F954EB">
        <w:rPr>
          <w:rFonts w:asciiTheme="minorHAnsi" w:hAnsiTheme="minorHAnsi"/>
          <w:bCs/>
        </w:rPr>
        <w:t xml:space="preserve"> warm water outflows </w:t>
      </w:r>
      <w:r w:rsidR="007C39CF" w:rsidRPr="00F954EB">
        <w:rPr>
          <w:rFonts w:asciiTheme="minorHAnsi" w:hAnsiTheme="minorHAnsi"/>
          <w:bCs/>
        </w:rPr>
        <w:t xml:space="preserve">found at the various </w:t>
      </w:r>
      <w:r w:rsidRPr="00F954EB">
        <w:rPr>
          <w:rFonts w:asciiTheme="minorHAnsi" w:hAnsiTheme="minorHAnsi"/>
          <w:bCs/>
        </w:rPr>
        <w:t xml:space="preserve">power plants throughout the manatee habitat. </w:t>
      </w:r>
      <w:r w:rsidR="00BE2696" w:rsidRPr="00F954EB">
        <w:rPr>
          <w:rFonts w:asciiTheme="minorHAnsi" w:hAnsiTheme="minorHAnsi"/>
          <w:bCs/>
        </w:rPr>
        <w:t xml:space="preserve"> </w:t>
      </w:r>
      <w:r w:rsidR="002F2FC3" w:rsidRPr="00F954EB">
        <w:rPr>
          <w:rFonts w:asciiTheme="minorHAnsi" w:hAnsiTheme="minorHAnsi"/>
          <w:bCs/>
        </w:rPr>
        <w:t>Each site was evaluated for Site CC and Forage CC</w:t>
      </w:r>
      <w:r w:rsidR="00AB121E">
        <w:rPr>
          <w:rFonts w:asciiTheme="minorHAnsi" w:hAnsiTheme="minorHAnsi"/>
          <w:bCs/>
        </w:rPr>
        <w:t xml:space="preserve"> using multiple 10,000 trial Monte Carlo simulations of ranges of input variables relevant to the site and the forage</w:t>
      </w:r>
      <w:r w:rsidR="00AB121E" w:rsidRPr="00F954EB">
        <w:rPr>
          <w:rFonts w:asciiTheme="minorHAnsi" w:hAnsiTheme="minorHAnsi"/>
          <w:bCs/>
        </w:rPr>
        <w:t>.</w:t>
      </w:r>
      <w:r w:rsidR="00AB121E">
        <w:rPr>
          <w:rFonts w:asciiTheme="minorHAnsi" w:hAnsiTheme="minorHAnsi"/>
          <w:bCs/>
        </w:rPr>
        <w:t xml:space="preserve">  The lower of the predicted CC determined whether the site was limited by volume of warm water the nearby availability of SAV.</w:t>
      </w:r>
    </w:p>
    <w:p w14:paraId="1D220EDC" w14:textId="77777777" w:rsidR="002F2FC3" w:rsidRPr="00F954EB" w:rsidRDefault="002F2FC3" w:rsidP="00F4371C">
      <w:pPr>
        <w:pStyle w:val="Default"/>
        <w:rPr>
          <w:rFonts w:asciiTheme="minorHAnsi" w:hAnsiTheme="minorHAnsi"/>
          <w:bCs/>
        </w:rPr>
      </w:pPr>
    </w:p>
    <w:p w14:paraId="069F9CD3" w14:textId="5353953C" w:rsidR="004F40C5" w:rsidRPr="00F954EB" w:rsidRDefault="004A23B9" w:rsidP="00F4371C">
      <w:pPr>
        <w:pStyle w:val="Default"/>
        <w:rPr>
          <w:rFonts w:asciiTheme="minorHAnsi" w:hAnsiTheme="minorHAnsi"/>
          <w:bCs/>
        </w:rPr>
      </w:pPr>
      <w:r w:rsidRPr="00F954EB">
        <w:rPr>
          <w:rFonts w:asciiTheme="minorHAnsi" w:hAnsiTheme="minorHAnsi"/>
          <w:bCs/>
        </w:rPr>
        <w:t xml:space="preserve">When taken at face value, the </w:t>
      </w:r>
      <w:r w:rsidR="00C91192" w:rsidRPr="00F954EB">
        <w:rPr>
          <w:rFonts w:asciiTheme="minorHAnsi" w:hAnsiTheme="minorHAnsi"/>
          <w:bCs/>
        </w:rPr>
        <w:t>IHA study</w:t>
      </w:r>
      <w:r w:rsidRPr="00F954EB">
        <w:rPr>
          <w:rFonts w:asciiTheme="minorHAnsi" w:hAnsiTheme="minorHAnsi"/>
          <w:bCs/>
        </w:rPr>
        <w:t xml:space="preserve"> suggests that the </w:t>
      </w:r>
      <w:r w:rsidR="00B74FEA" w:rsidRPr="00F954EB">
        <w:rPr>
          <w:rFonts w:asciiTheme="minorHAnsi" w:hAnsiTheme="minorHAnsi"/>
          <w:bCs/>
        </w:rPr>
        <w:t xml:space="preserve">combined </w:t>
      </w:r>
      <w:r w:rsidRPr="00F954EB">
        <w:rPr>
          <w:rFonts w:asciiTheme="minorHAnsi" w:hAnsiTheme="minorHAnsi"/>
          <w:bCs/>
        </w:rPr>
        <w:t xml:space="preserve">CC for these </w:t>
      </w:r>
      <w:r w:rsidRPr="00F954EB">
        <w:rPr>
          <w:rFonts w:asciiTheme="minorHAnsi" w:hAnsiTheme="minorHAnsi"/>
          <w:bCs/>
        </w:rPr>
        <w:lastRenderedPageBreak/>
        <w:t>eleven sites</w:t>
      </w:r>
      <w:r w:rsidR="00BD7301" w:rsidRPr="00F954EB">
        <w:rPr>
          <w:rFonts w:asciiTheme="minorHAnsi" w:hAnsiTheme="minorHAnsi"/>
          <w:bCs/>
        </w:rPr>
        <w:t xml:space="preserve"> </w:t>
      </w:r>
      <w:r w:rsidR="002F2FC3" w:rsidRPr="00F954EB">
        <w:rPr>
          <w:rFonts w:asciiTheme="minorHAnsi" w:hAnsiTheme="minorHAnsi"/>
          <w:bCs/>
        </w:rPr>
        <w:t xml:space="preserve">is </w:t>
      </w:r>
      <w:r w:rsidR="00BD7301" w:rsidRPr="00F954EB">
        <w:rPr>
          <w:rFonts w:asciiTheme="minorHAnsi" w:hAnsiTheme="minorHAnsi"/>
          <w:bCs/>
        </w:rPr>
        <w:t>around 18,500</w:t>
      </w:r>
      <w:r w:rsidR="002F2FC3" w:rsidRPr="00F954EB">
        <w:rPr>
          <w:rFonts w:asciiTheme="minorHAnsi" w:hAnsiTheme="minorHAnsi"/>
          <w:bCs/>
        </w:rPr>
        <w:t xml:space="preserve"> manatees</w:t>
      </w:r>
      <w:r w:rsidR="00BD7301" w:rsidRPr="00F954EB">
        <w:rPr>
          <w:rFonts w:asciiTheme="minorHAnsi" w:hAnsiTheme="minorHAnsi"/>
          <w:bCs/>
        </w:rPr>
        <w:t xml:space="preserve">, but </w:t>
      </w:r>
      <w:r w:rsidR="008F1A1E" w:rsidRPr="00F954EB">
        <w:rPr>
          <w:rFonts w:asciiTheme="minorHAnsi" w:hAnsiTheme="minorHAnsi"/>
          <w:bCs/>
        </w:rPr>
        <w:t>further investigation s</w:t>
      </w:r>
      <w:r w:rsidR="00AB121E">
        <w:rPr>
          <w:rFonts w:asciiTheme="minorHAnsi" w:hAnsiTheme="minorHAnsi"/>
          <w:bCs/>
        </w:rPr>
        <w:t>h</w:t>
      </w:r>
      <w:r w:rsidR="008F1A1E" w:rsidRPr="00F954EB">
        <w:rPr>
          <w:rFonts w:asciiTheme="minorHAnsi" w:hAnsiTheme="minorHAnsi"/>
          <w:bCs/>
        </w:rPr>
        <w:t>ows</w:t>
      </w:r>
      <w:r w:rsidR="00BD7301" w:rsidRPr="00F954EB">
        <w:rPr>
          <w:rFonts w:asciiTheme="minorHAnsi" w:hAnsiTheme="minorHAnsi"/>
          <w:bCs/>
        </w:rPr>
        <w:t xml:space="preserve"> that the </w:t>
      </w:r>
      <w:r w:rsidR="00AB121E">
        <w:rPr>
          <w:rFonts w:asciiTheme="minorHAnsi" w:hAnsiTheme="minorHAnsi"/>
          <w:bCs/>
        </w:rPr>
        <w:t xml:space="preserve">site limited </w:t>
      </w:r>
      <w:r w:rsidR="00BD7301" w:rsidRPr="00F954EB">
        <w:rPr>
          <w:rFonts w:asciiTheme="minorHAnsi" w:hAnsiTheme="minorHAnsi"/>
          <w:bCs/>
        </w:rPr>
        <w:t xml:space="preserve">CC for </w:t>
      </w:r>
      <w:r w:rsidR="00B74FEA" w:rsidRPr="00F954EB">
        <w:rPr>
          <w:rFonts w:asciiTheme="minorHAnsi" w:hAnsiTheme="minorHAnsi"/>
          <w:bCs/>
        </w:rPr>
        <w:t>Crystal River (13,725) comprises 7</w:t>
      </w:r>
      <w:r w:rsidR="00246E58" w:rsidRPr="00F954EB">
        <w:rPr>
          <w:rFonts w:asciiTheme="minorHAnsi" w:hAnsiTheme="minorHAnsi"/>
          <w:bCs/>
        </w:rPr>
        <w:t>4% of the calculated total CC.</w:t>
      </w:r>
      <w:r w:rsidR="004F40C5" w:rsidRPr="00F954EB">
        <w:rPr>
          <w:rFonts w:asciiTheme="minorHAnsi" w:hAnsiTheme="minorHAnsi"/>
          <w:bCs/>
        </w:rPr>
        <w:t xml:space="preserve">  All of these values are the median (50 percentile) </w:t>
      </w:r>
      <w:r w:rsidR="002F2FC3" w:rsidRPr="00F954EB">
        <w:rPr>
          <w:rFonts w:asciiTheme="minorHAnsi" w:hAnsiTheme="minorHAnsi"/>
          <w:bCs/>
        </w:rPr>
        <w:t>results from separate 10,000 trial Monte C</w:t>
      </w:r>
      <w:r w:rsidR="004F40C5" w:rsidRPr="00F954EB">
        <w:rPr>
          <w:rFonts w:asciiTheme="minorHAnsi" w:hAnsiTheme="minorHAnsi"/>
          <w:bCs/>
        </w:rPr>
        <w:t>arlo simulations.</w:t>
      </w:r>
      <w:r w:rsidR="00246E58" w:rsidRPr="00F954EB">
        <w:rPr>
          <w:rFonts w:asciiTheme="minorHAnsi" w:hAnsiTheme="minorHAnsi"/>
          <w:bCs/>
        </w:rPr>
        <w:t xml:space="preserve">  </w:t>
      </w:r>
    </w:p>
    <w:p w14:paraId="7B0BD2B6" w14:textId="77777777" w:rsidR="004F40C5" w:rsidRDefault="004F40C5" w:rsidP="00F4371C">
      <w:pPr>
        <w:pStyle w:val="Default"/>
        <w:rPr>
          <w:rFonts w:asciiTheme="minorHAnsi" w:hAnsiTheme="minorHAnsi"/>
          <w:bCs/>
        </w:rPr>
      </w:pPr>
    </w:p>
    <w:p w14:paraId="39119BD9" w14:textId="77777777" w:rsidR="00A77166" w:rsidRDefault="00A77166" w:rsidP="00C31F01">
      <w:pPr>
        <w:pStyle w:val="Default"/>
        <w:sectPr w:rsidR="00A77166" w:rsidSect="00D64DBE">
          <w:pgSz w:w="12240" w:h="15840"/>
          <w:pgMar w:top="1440" w:right="1800" w:bottom="1440" w:left="1800" w:header="720" w:footer="720" w:gutter="0"/>
          <w:cols w:space="720"/>
          <w:docGrid w:linePitch="360"/>
        </w:sectPr>
      </w:pPr>
    </w:p>
    <w:p w14:paraId="1A5DDF48" w14:textId="383DD7AE" w:rsidR="00C31F01" w:rsidRDefault="00EA3546" w:rsidP="00C31F01">
      <w:pPr>
        <w:pStyle w:val="Default"/>
      </w:pPr>
      <w:r>
        <w:rPr>
          <w:rFonts w:asciiTheme="minorHAnsi" w:hAnsiTheme="minorHAnsi"/>
          <w:bCs/>
          <w:noProof/>
        </w:rPr>
        <w:drawing>
          <wp:inline distT="0" distB="0" distL="0" distR="0" wp14:anchorId="3C16C61C" wp14:editId="4AF2FA28">
            <wp:extent cx="2057400" cy="28926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368" cy="2894031"/>
                    </a:xfrm>
                    <a:prstGeom prst="rect">
                      <a:avLst/>
                    </a:prstGeom>
                    <a:noFill/>
                    <a:ln>
                      <a:noFill/>
                    </a:ln>
                  </pic:spPr>
                </pic:pic>
              </a:graphicData>
            </a:graphic>
          </wp:inline>
        </w:drawing>
      </w:r>
      <w:r w:rsidR="002F2FC3">
        <w:t xml:space="preserve">    </w:t>
      </w:r>
      <w:r w:rsidR="00C31F01">
        <w:rPr>
          <w:rFonts w:asciiTheme="minorHAnsi" w:hAnsiTheme="minorHAnsi"/>
          <w:bCs/>
          <w:noProof/>
        </w:rPr>
        <w:drawing>
          <wp:inline distT="0" distB="0" distL="0" distR="0" wp14:anchorId="1CCAEB9A" wp14:editId="6C471C3B">
            <wp:extent cx="2809068" cy="1714500"/>
            <wp:effectExtent l="0" t="0" r="10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068" cy="1714500"/>
                    </a:xfrm>
                    <a:prstGeom prst="rect">
                      <a:avLst/>
                    </a:prstGeom>
                    <a:noFill/>
                    <a:ln>
                      <a:noFill/>
                    </a:ln>
                  </pic:spPr>
                </pic:pic>
              </a:graphicData>
            </a:graphic>
          </wp:inline>
        </w:drawing>
      </w:r>
    </w:p>
    <w:p w14:paraId="20923D6F" w14:textId="77777777" w:rsidR="00A77166" w:rsidRPr="00C31F01" w:rsidRDefault="00A77166" w:rsidP="00A77166">
      <w:pPr>
        <w:pStyle w:val="Default"/>
        <w:rPr>
          <w:rFonts w:asciiTheme="minorHAnsi" w:hAnsiTheme="minorHAnsi"/>
          <w:bCs/>
        </w:rPr>
      </w:pPr>
      <w:r w:rsidRPr="00EA3546">
        <w:rPr>
          <w:rFonts w:asciiTheme="minorHAnsi" w:hAnsiTheme="minorHAnsi"/>
          <w:sz w:val="22"/>
          <w:vertAlign w:val="superscript"/>
        </w:rPr>
        <w:t>Source: IHA Study</w:t>
      </w:r>
    </w:p>
    <w:p w14:paraId="6182FB1B" w14:textId="76F36646" w:rsidR="00A77166" w:rsidRPr="00A77166" w:rsidRDefault="00A77166" w:rsidP="00C31F01">
      <w:pPr>
        <w:pStyle w:val="Default"/>
        <w:rPr>
          <w:rFonts w:asciiTheme="minorHAnsi" w:hAnsiTheme="minorHAnsi"/>
          <w:bCs/>
          <w:sz w:val="18"/>
        </w:rPr>
      </w:pPr>
      <w:r w:rsidRPr="00A77166">
        <w:rPr>
          <w:rFonts w:asciiTheme="minorHAnsi" w:hAnsiTheme="minorHAnsi"/>
          <w:bCs/>
          <w:sz w:val="18"/>
        </w:rPr>
        <w:t xml:space="preserve">Note that the IHA Study uses K </w:t>
      </w:r>
      <w:r>
        <w:rPr>
          <w:rFonts w:asciiTheme="minorHAnsi" w:hAnsiTheme="minorHAnsi"/>
          <w:bCs/>
          <w:sz w:val="18"/>
        </w:rPr>
        <w:t>for</w:t>
      </w:r>
      <w:r w:rsidRPr="00A77166">
        <w:rPr>
          <w:rFonts w:asciiTheme="minorHAnsi" w:hAnsiTheme="minorHAnsi"/>
          <w:bCs/>
          <w:sz w:val="18"/>
        </w:rPr>
        <w:t xml:space="preserve"> carrying capacity.</w:t>
      </w:r>
    </w:p>
    <w:p w14:paraId="0ADAFCB3" w14:textId="77777777" w:rsidR="002F2FC3" w:rsidRDefault="002F2FC3" w:rsidP="00C31F01">
      <w:pPr>
        <w:pStyle w:val="Default"/>
        <w:rPr>
          <w:rFonts w:asciiTheme="minorHAnsi" w:hAnsiTheme="minorHAnsi"/>
          <w:bCs/>
        </w:rPr>
      </w:pPr>
    </w:p>
    <w:p w14:paraId="55EB81FF" w14:textId="434A420C" w:rsidR="00A77166" w:rsidRDefault="00A77166" w:rsidP="00C31F01">
      <w:pPr>
        <w:pStyle w:val="Default"/>
        <w:rPr>
          <w:rFonts w:asciiTheme="minorHAnsi" w:hAnsiTheme="minorHAnsi"/>
          <w:bCs/>
        </w:rPr>
        <w:sectPr w:rsidR="00A77166" w:rsidSect="00A77166">
          <w:type w:val="continuous"/>
          <w:pgSz w:w="12240" w:h="15840"/>
          <w:pgMar w:top="1440" w:right="1800" w:bottom="1440" w:left="1800" w:header="720" w:footer="720" w:gutter="0"/>
          <w:cols w:num="2" w:space="576" w:equalWidth="0">
            <w:col w:w="3168" w:space="576"/>
            <w:col w:w="4896"/>
          </w:cols>
          <w:docGrid w:linePitch="360"/>
        </w:sectPr>
      </w:pPr>
      <w:r>
        <w:rPr>
          <w:rFonts w:asciiTheme="minorHAnsi" w:hAnsiTheme="minorHAnsi"/>
          <w:bCs/>
        </w:rPr>
        <w:t>Further evaluation reveals that 8 of the 11 sites were determined to have a CC (</w:t>
      </w:r>
      <w:r w:rsidR="00AB121E">
        <w:rPr>
          <w:rFonts w:asciiTheme="minorHAnsi" w:hAnsiTheme="minorHAnsi"/>
          <w:bCs/>
        </w:rPr>
        <w:t>shown as K</w:t>
      </w:r>
      <w:r>
        <w:rPr>
          <w:rFonts w:asciiTheme="minorHAnsi" w:hAnsiTheme="minorHAnsi"/>
          <w:bCs/>
        </w:rPr>
        <w:t xml:space="preserve">) limited by available </w:t>
      </w:r>
      <w:r w:rsidR="00AB121E">
        <w:rPr>
          <w:rFonts w:asciiTheme="minorHAnsi" w:hAnsiTheme="minorHAnsi"/>
          <w:bCs/>
        </w:rPr>
        <w:t>forage (SAV</w:t>
      </w:r>
      <w:r>
        <w:rPr>
          <w:rFonts w:asciiTheme="minorHAnsi" w:hAnsiTheme="minorHAnsi"/>
          <w:bCs/>
        </w:rPr>
        <w:t xml:space="preserve"> withi</w:t>
      </w:r>
      <w:r w:rsidR="00AB121E">
        <w:rPr>
          <w:rFonts w:asciiTheme="minorHAnsi" w:hAnsiTheme="minorHAnsi"/>
          <w:bCs/>
        </w:rPr>
        <w:t>n a 30km radius of the site), and</w:t>
      </w:r>
      <w:r w:rsidR="00AB121E" w:rsidRPr="00AB121E">
        <w:rPr>
          <w:rFonts w:asciiTheme="minorHAnsi" w:hAnsiTheme="minorHAnsi"/>
          <w:bCs/>
        </w:rPr>
        <w:t xml:space="preserve"> </w:t>
      </w:r>
      <w:r w:rsidR="00AB121E">
        <w:rPr>
          <w:rFonts w:asciiTheme="minorHAnsi" w:hAnsiTheme="minorHAnsi"/>
          <w:bCs/>
        </w:rPr>
        <w:t>not limited by warm water.  Four</w:t>
      </w:r>
      <w:r w:rsidR="00AB121E" w:rsidRPr="00AB121E">
        <w:rPr>
          <w:rFonts w:asciiTheme="minorHAnsi" w:hAnsiTheme="minorHAnsi"/>
          <w:bCs/>
        </w:rPr>
        <w:t xml:space="preserve"> </w:t>
      </w:r>
      <w:r w:rsidR="00AB121E">
        <w:rPr>
          <w:rFonts w:asciiTheme="minorHAnsi" w:hAnsiTheme="minorHAnsi"/>
          <w:bCs/>
        </w:rPr>
        <w:t>of these sites (Crystal River,</w:t>
      </w:r>
    </w:p>
    <w:p w14:paraId="07301A11" w14:textId="584FAC55" w:rsidR="008F1A1E" w:rsidRDefault="008F1A1E" w:rsidP="00A77166">
      <w:pPr>
        <w:pStyle w:val="Default"/>
        <w:rPr>
          <w:rFonts w:asciiTheme="minorHAnsi" w:hAnsiTheme="minorHAnsi"/>
          <w:bCs/>
        </w:rPr>
      </w:pPr>
      <w:proofErr w:type="spellStart"/>
      <w:r>
        <w:rPr>
          <w:rFonts w:asciiTheme="minorHAnsi" w:hAnsiTheme="minorHAnsi"/>
          <w:bCs/>
        </w:rPr>
        <w:t>Weeki</w:t>
      </w:r>
      <w:proofErr w:type="spellEnd"/>
      <w:r>
        <w:rPr>
          <w:rFonts w:asciiTheme="minorHAnsi" w:hAnsiTheme="minorHAnsi"/>
          <w:bCs/>
        </w:rPr>
        <w:t xml:space="preserve"> </w:t>
      </w:r>
      <w:proofErr w:type="spellStart"/>
      <w:r>
        <w:rPr>
          <w:rFonts w:asciiTheme="minorHAnsi" w:hAnsiTheme="minorHAnsi"/>
          <w:bCs/>
        </w:rPr>
        <w:t>Wachee</w:t>
      </w:r>
      <w:proofErr w:type="spellEnd"/>
      <w:r w:rsidR="00A77166">
        <w:rPr>
          <w:rFonts w:asciiTheme="minorHAnsi" w:hAnsiTheme="minorHAnsi"/>
          <w:bCs/>
        </w:rPr>
        <w:t xml:space="preserve"> on the west coast and Sebastian River/C-54 Canal and Harbor Branch on the east coast) were </w:t>
      </w:r>
      <w:r>
        <w:rPr>
          <w:rFonts w:asciiTheme="minorHAnsi" w:hAnsiTheme="minorHAnsi"/>
          <w:bCs/>
        </w:rPr>
        <w:t>close to</w:t>
      </w:r>
      <w:r w:rsidR="00A77166">
        <w:rPr>
          <w:rFonts w:asciiTheme="minorHAnsi" w:hAnsiTheme="minorHAnsi"/>
          <w:bCs/>
        </w:rPr>
        <w:t xml:space="preserve"> a</w:t>
      </w:r>
      <w:r>
        <w:rPr>
          <w:rFonts w:asciiTheme="minorHAnsi" w:hAnsiTheme="minorHAnsi"/>
          <w:bCs/>
        </w:rPr>
        <w:t>n</w:t>
      </w:r>
      <w:r w:rsidR="00A77166">
        <w:rPr>
          <w:rFonts w:asciiTheme="minorHAnsi" w:hAnsiTheme="minorHAnsi"/>
          <w:bCs/>
        </w:rPr>
        <w:t xml:space="preserve"> </w:t>
      </w:r>
      <w:r w:rsidR="00AB121E">
        <w:rPr>
          <w:rFonts w:asciiTheme="minorHAnsi" w:hAnsiTheme="minorHAnsi"/>
          <w:bCs/>
        </w:rPr>
        <w:t xml:space="preserve">ocean </w:t>
      </w:r>
      <w:r w:rsidR="00A77166">
        <w:rPr>
          <w:rFonts w:asciiTheme="minorHAnsi" w:hAnsiTheme="minorHAnsi"/>
          <w:bCs/>
        </w:rPr>
        <w:t>inlet</w:t>
      </w:r>
      <w:r>
        <w:rPr>
          <w:rFonts w:asciiTheme="minorHAnsi" w:hAnsiTheme="minorHAnsi"/>
          <w:bCs/>
        </w:rPr>
        <w:t xml:space="preserve">, so and the IHA team proposed the </w:t>
      </w:r>
      <w:r w:rsidR="00A77166">
        <w:rPr>
          <w:rFonts w:asciiTheme="minorHAnsi" w:hAnsiTheme="minorHAnsi"/>
          <w:bCs/>
        </w:rPr>
        <w:t xml:space="preserve">30km available forage radius </w:t>
      </w:r>
      <w:r>
        <w:rPr>
          <w:rFonts w:asciiTheme="minorHAnsi" w:hAnsiTheme="minorHAnsi"/>
          <w:bCs/>
        </w:rPr>
        <w:t>extended nearly 30km offshore.   This results in the inclusion of large areas of SAV</w:t>
      </w:r>
      <w:r w:rsidR="00AB121E">
        <w:rPr>
          <w:rFonts w:asciiTheme="minorHAnsi" w:hAnsiTheme="minorHAnsi"/>
          <w:bCs/>
        </w:rPr>
        <w:t>,</w:t>
      </w:r>
      <w:r>
        <w:rPr>
          <w:rFonts w:asciiTheme="minorHAnsi" w:hAnsiTheme="minorHAnsi"/>
          <w:bCs/>
        </w:rPr>
        <w:t xml:space="preserve"> never used by manatees</w:t>
      </w:r>
      <w:r w:rsidR="00AB121E">
        <w:rPr>
          <w:rFonts w:asciiTheme="minorHAnsi" w:hAnsiTheme="minorHAnsi"/>
          <w:bCs/>
        </w:rPr>
        <w:t xml:space="preserve">, into the forage calculations.  The </w:t>
      </w:r>
      <w:r>
        <w:rPr>
          <w:rFonts w:asciiTheme="minorHAnsi" w:hAnsiTheme="minorHAnsi"/>
          <w:bCs/>
        </w:rPr>
        <w:t>SAV be</w:t>
      </w:r>
      <w:r w:rsidR="00AB121E">
        <w:rPr>
          <w:rFonts w:asciiTheme="minorHAnsi" w:hAnsiTheme="minorHAnsi"/>
          <w:bCs/>
        </w:rPr>
        <w:t>ds offshore Citrus County (the Crystal River site) have</w:t>
      </w:r>
      <w:r>
        <w:rPr>
          <w:rFonts w:asciiTheme="minorHAnsi" w:hAnsiTheme="minorHAnsi"/>
          <w:bCs/>
        </w:rPr>
        <w:t xml:space="preserve"> the most pronounced (and unlikely) impact on the CC assessment.</w:t>
      </w:r>
    </w:p>
    <w:p w14:paraId="3E682337" w14:textId="77777777" w:rsidR="008F1A1E" w:rsidRDefault="008F1A1E" w:rsidP="00A77166">
      <w:pPr>
        <w:pStyle w:val="Default"/>
        <w:rPr>
          <w:rFonts w:asciiTheme="minorHAnsi" w:hAnsiTheme="minorHAnsi"/>
          <w:bCs/>
        </w:rPr>
      </w:pPr>
    </w:p>
    <w:p w14:paraId="34D960B2" w14:textId="241374BE" w:rsidR="00EA2F3E" w:rsidRPr="00317AAE" w:rsidRDefault="00EA2F3E" w:rsidP="00EA2F3E">
      <w:pPr>
        <w:widowControl w:val="0"/>
        <w:autoSpaceDE w:val="0"/>
        <w:autoSpaceDN w:val="0"/>
        <w:adjustRightInd w:val="0"/>
        <w:spacing w:after="320"/>
        <w:rPr>
          <w:rFonts w:cs="Times"/>
        </w:rPr>
      </w:pPr>
      <w:r w:rsidRPr="00317AAE">
        <w:t xml:space="preserve">As recently as 2003, USFWS was making policy and regulatory decisions based on the </w:t>
      </w:r>
      <w:r w:rsidR="00B50BC1" w:rsidRPr="00317AAE">
        <w:t>now outdated</w:t>
      </w:r>
      <w:r w:rsidRPr="00317AAE">
        <w:t xml:space="preserve"> premise that warm water </w:t>
      </w:r>
      <w:proofErr w:type="spellStart"/>
      <w:r w:rsidRPr="00317AAE">
        <w:t>refugia</w:t>
      </w:r>
      <w:proofErr w:type="spellEnd"/>
      <w:r w:rsidRPr="00317AAE">
        <w:t xml:space="preserve"> was THE limiting factor for manatee carrying capacity as evidenced by this quote directly from </w:t>
      </w:r>
      <w:r w:rsidRPr="00317AAE">
        <w:rPr>
          <w:rFonts w:cs="Times"/>
        </w:rPr>
        <w:t>the Federal Register: May 8, 2003 (Volume 68, Number 89), Proposed Rules, Page 24700-24704 in reference to:  Fish and Wildlife Service ACTION: Proposed rule; withdrawal. Availability of Record of Decision; 50 CFR Part 18; RIN 1018-AH86; Marine Mammals; Incidental Take During Specified Activities.</w:t>
      </w:r>
    </w:p>
    <w:p w14:paraId="125F62E9" w14:textId="77777777" w:rsidR="00EA2F3E" w:rsidRPr="00317AAE" w:rsidRDefault="00EA2F3E" w:rsidP="00EA2F3E">
      <w:pPr>
        <w:widowControl w:val="0"/>
        <w:autoSpaceDE w:val="0"/>
        <w:autoSpaceDN w:val="0"/>
        <w:adjustRightInd w:val="0"/>
        <w:spacing w:after="320"/>
        <w:ind w:left="450" w:right="540"/>
        <w:rPr>
          <w:rFonts w:cs="Times"/>
          <w:i/>
          <w:sz w:val="20"/>
          <w:szCs w:val="20"/>
        </w:rPr>
      </w:pPr>
      <w:r w:rsidRPr="00317AAE">
        <w:rPr>
          <w:rFonts w:cs="Times"/>
          <w:i/>
          <w:sz w:val="20"/>
          <w:szCs w:val="20"/>
        </w:rPr>
        <w:t xml:space="preserve">“New information about carrying capacity suggests that it may decline over the next 3 to 60 years, which would affect density-dependent life history and management functions of the Florida manatee. The limiting factor for the carrying capacity of each stock is warm water </w:t>
      </w:r>
      <w:proofErr w:type="spellStart"/>
      <w:r w:rsidRPr="00317AAE">
        <w:rPr>
          <w:rFonts w:cs="Times"/>
          <w:i/>
          <w:sz w:val="20"/>
          <w:szCs w:val="20"/>
        </w:rPr>
        <w:t>refugia</w:t>
      </w:r>
      <w:proofErr w:type="spellEnd"/>
      <w:r w:rsidRPr="00317AAE">
        <w:rPr>
          <w:rFonts w:cs="Times"/>
          <w:i/>
          <w:sz w:val="20"/>
          <w:szCs w:val="20"/>
        </w:rPr>
        <w:t xml:space="preserve">. Each stock of Florida manatees is variably dependent on natural and artificial warm water </w:t>
      </w:r>
      <w:proofErr w:type="spellStart"/>
      <w:r w:rsidRPr="00317AAE">
        <w:rPr>
          <w:rFonts w:cs="Times"/>
          <w:i/>
          <w:sz w:val="20"/>
          <w:szCs w:val="20"/>
        </w:rPr>
        <w:t>refugia</w:t>
      </w:r>
      <w:proofErr w:type="spellEnd"/>
      <w:r w:rsidRPr="00317AAE">
        <w:rPr>
          <w:rFonts w:cs="Times"/>
          <w:i/>
          <w:sz w:val="20"/>
          <w:szCs w:val="20"/>
        </w:rPr>
        <w:t xml:space="preserve">, such as springs, sewerage outfalls, and power plant discharges. Preliminary information presented in the Incidental Take Model, but not yet peer reviewed, suggests that a reduction in total warm water carrying capacity is possible, if not likely, in the near future. This would suggest that OSP will change over time. Our implicit assumption of a stable OSP is challenged by this information. This, in turn, has implications for our interpretation of total population estimates, and our assumption that none of the stocks </w:t>
      </w:r>
      <w:r w:rsidRPr="00317AAE">
        <w:rPr>
          <w:rFonts w:cs="Times"/>
          <w:i/>
          <w:sz w:val="20"/>
          <w:szCs w:val="20"/>
        </w:rPr>
        <w:lastRenderedPageBreak/>
        <w:t>were severely depleted based on the demographic benchmarks.”</w:t>
      </w:r>
    </w:p>
    <w:p w14:paraId="078DA77C" w14:textId="4E309B91" w:rsidR="00A77166" w:rsidRPr="00F954EB" w:rsidRDefault="00A77166" w:rsidP="00A77166">
      <w:pPr>
        <w:pStyle w:val="Default"/>
        <w:rPr>
          <w:rFonts w:asciiTheme="minorHAnsi" w:hAnsiTheme="minorHAnsi"/>
          <w:bCs/>
        </w:rPr>
        <w:sectPr w:rsidR="00A77166" w:rsidRPr="00F954EB" w:rsidSect="00A77166">
          <w:type w:val="continuous"/>
          <w:pgSz w:w="12240" w:h="15840"/>
          <w:pgMar w:top="1440" w:right="1800" w:bottom="1440" w:left="1800" w:header="720" w:footer="720" w:gutter="0"/>
          <w:cols w:space="720"/>
          <w:docGrid w:linePitch="360"/>
        </w:sectPr>
      </w:pPr>
      <w:r w:rsidRPr="00F954EB">
        <w:rPr>
          <w:rFonts w:asciiTheme="minorHAnsi" w:hAnsiTheme="minorHAnsi"/>
          <w:bCs/>
        </w:rPr>
        <w:t xml:space="preserve">With the Crystal River site removed from the analysis, the </w:t>
      </w:r>
      <w:r w:rsidR="008F1A1E" w:rsidRPr="00F954EB">
        <w:rPr>
          <w:rFonts w:asciiTheme="minorHAnsi" w:hAnsiTheme="minorHAnsi"/>
          <w:bCs/>
        </w:rPr>
        <w:t xml:space="preserve">estimated </w:t>
      </w:r>
      <w:r w:rsidRPr="00F954EB">
        <w:rPr>
          <w:rFonts w:asciiTheme="minorHAnsi" w:hAnsiTheme="minorHAnsi"/>
          <w:bCs/>
        </w:rPr>
        <w:t xml:space="preserve">CC of the remaining 10 sites was merely 4832, with 8 sites limited by </w:t>
      </w:r>
      <w:r w:rsidR="00317AAE">
        <w:rPr>
          <w:rFonts w:asciiTheme="minorHAnsi" w:hAnsiTheme="minorHAnsi"/>
          <w:bCs/>
        </w:rPr>
        <w:t xml:space="preserve">nearby </w:t>
      </w:r>
      <w:r w:rsidRPr="00F954EB">
        <w:rPr>
          <w:rFonts w:asciiTheme="minorHAnsi" w:hAnsiTheme="minorHAnsi"/>
          <w:bCs/>
        </w:rPr>
        <w:t>forage and 2 limited by warm water</w:t>
      </w:r>
      <w:r w:rsidR="00317AAE">
        <w:rPr>
          <w:rFonts w:asciiTheme="minorHAnsi" w:hAnsiTheme="minorHAnsi"/>
          <w:bCs/>
        </w:rPr>
        <w:t xml:space="preserve"> volume</w:t>
      </w:r>
      <w:r w:rsidRPr="00F954EB">
        <w:rPr>
          <w:rFonts w:asciiTheme="minorHAnsi" w:hAnsiTheme="minorHAnsi"/>
          <w:bCs/>
        </w:rPr>
        <w:t>.</w:t>
      </w:r>
      <w:r w:rsidR="00EA2F3E" w:rsidRPr="00F954EB">
        <w:rPr>
          <w:rFonts w:asciiTheme="minorHAnsi" w:hAnsiTheme="minorHAnsi"/>
          <w:bCs/>
        </w:rPr>
        <w:t xml:space="preserve">  Clearly manatee carrying capacity is more strongly limited by forage than by warm water </w:t>
      </w:r>
      <w:proofErr w:type="spellStart"/>
      <w:r w:rsidR="00EA2F3E" w:rsidRPr="00F954EB">
        <w:rPr>
          <w:rFonts w:asciiTheme="minorHAnsi" w:hAnsiTheme="minorHAnsi"/>
          <w:bCs/>
        </w:rPr>
        <w:t>refugia</w:t>
      </w:r>
      <w:proofErr w:type="spellEnd"/>
      <w:r w:rsidR="00EA2F3E" w:rsidRPr="00F954EB">
        <w:rPr>
          <w:rFonts w:asciiTheme="minorHAnsi" w:hAnsiTheme="minorHAnsi"/>
          <w:bCs/>
        </w:rPr>
        <w:t xml:space="preserve">, as previously believed and used as the basis of determination of </w:t>
      </w:r>
      <w:r w:rsidR="00317AAE">
        <w:rPr>
          <w:rFonts w:asciiTheme="minorHAnsi" w:hAnsiTheme="minorHAnsi"/>
          <w:bCs/>
        </w:rPr>
        <w:t>OSP</w:t>
      </w:r>
      <w:r w:rsidR="00EA2F3E" w:rsidRPr="00F954EB">
        <w:rPr>
          <w:rFonts w:asciiTheme="minorHAnsi" w:hAnsiTheme="minorHAnsi"/>
          <w:bCs/>
        </w:rPr>
        <w:t xml:space="preserve"> as well as </w:t>
      </w:r>
      <w:r w:rsidR="00317AAE">
        <w:rPr>
          <w:rFonts w:asciiTheme="minorHAnsi" w:hAnsiTheme="minorHAnsi"/>
          <w:bCs/>
        </w:rPr>
        <w:t>CC</w:t>
      </w:r>
      <w:r w:rsidR="00EA2F3E" w:rsidRPr="00F954EB">
        <w:rPr>
          <w:rFonts w:asciiTheme="minorHAnsi" w:hAnsiTheme="minorHAnsi"/>
          <w:bCs/>
        </w:rPr>
        <w:t>.</w:t>
      </w:r>
    </w:p>
    <w:p w14:paraId="66739E14" w14:textId="77777777" w:rsidR="00A77166" w:rsidRPr="00F954EB" w:rsidRDefault="00A77166" w:rsidP="00F4371C">
      <w:pPr>
        <w:pStyle w:val="Default"/>
        <w:rPr>
          <w:rFonts w:asciiTheme="minorHAnsi" w:hAnsiTheme="minorHAnsi"/>
          <w:bCs/>
        </w:rPr>
      </w:pPr>
    </w:p>
    <w:p w14:paraId="44E53588" w14:textId="0717D8B5" w:rsidR="00FF5FD4" w:rsidRPr="00F954EB" w:rsidRDefault="00FF5FD4" w:rsidP="00F4371C">
      <w:pPr>
        <w:pStyle w:val="Default"/>
        <w:rPr>
          <w:rFonts w:asciiTheme="minorHAnsi" w:hAnsiTheme="minorHAnsi"/>
          <w:bCs/>
        </w:rPr>
      </w:pPr>
      <w:r w:rsidRPr="00F954EB">
        <w:rPr>
          <w:rFonts w:asciiTheme="minorHAnsi" w:hAnsiTheme="minorHAnsi"/>
          <w:bCs/>
        </w:rPr>
        <w:t>The most important and consistent message from both of these independent and diverse analyses of the manatee species is that there are</w:t>
      </w:r>
      <w:r w:rsidR="003B2B43" w:rsidRPr="00F954EB">
        <w:rPr>
          <w:rFonts w:asciiTheme="minorHAnsi" w:hAnsiTheme="minorHAnsi"/>
          <w:bCs/>
        </w:rPr>
        <w:t xml:space="preserve"> upper bounds to manatee population, which are </w:t>
      </w:r>
      <w:r w:rsidR="00F933CB" w:rsidRPr="00F954EB">
        <w:rPr>
          <w:rFonts w:asciiTheme="minorHAnsi" w:hAnsiTheme="minorHAnsi"/>
          <w:bCs/>
        </w:rPr>
        <w:t xml:space="preserve">the </w:t>
      </w:r>
      <w:r w:rsidR="003B2B43" w:rsidRPr="00F954EB">
        <w:rPr>
          <w:rFonts w:asciiTheme="minorHAnsi" w:hAnsiTheme="minorHAnsi"/>
          <w:bCs/>
        </w:rPr>
        <w:t xml:space="preserve">naturally occurring features of </w:t>
      </w:r>
      <w:r w:rsidRPr="00F954EB">
        <w:rPr>
          <w:rFonts w:asciiTheme="minorHAnsi" w:hAnsiTheme="minorHAnsi"/>
          <w:bCs/>
        </w:rPr>
        <w:t>the habitat</w:t>
      </w:r>
      <w:r w:rsidR="003B2B43" w:rsidRPr="00F954EB">
        <w:rPr>
          <w:rFonts w:asciiTheme="minorHAnsi" w:hAnsiTheme="minorHAnsi"/>
          <w:bCs/>
        </w:rPr>
        <w:t xml:space="preserve"> itself.  </w:t>
      </w:r>
      <w:r w:rsidR="00EA2F3E" w:rsidRPr="00F954EB">
        <w:rPr>
          <w:rFonts w:asciiTheme="minorHAnsi" w:hAnsiTheme="minorHAnsi"/>
          <w:bCs/>
        </w:rPr>
        <w:t>Further, the pre</w:t>
      </w:r>
      <w:r w:rsidR="00962141" w:rsidRPr="00F954EB">
        <w:rPr>
          <w:rFonts w:asciiTheme="minorHAnsi" w:hAnsiTheme="minorHAnsi"/>
          <w:bCs/>
        </w:rPr>
        <w:t>vious fear that anticipated losse</w:t>
      </w:r>
      <w:r w:rsidR="00EA2F3E" w:rsidRPr="00F954EB">
        <w:rPr>
          <w:rFonts w:asciiTheme="minorHAnsi" w:hAnsiTheme="minorHAnsi"/>
          <w:bCs/>
        </w:rPr>
        <w:t>s of warm water, which have not occurred in the 11 years since</w:t>
      </w:r>
      <w:r w:rsidR="00317AAE">
        <w:rPr>
          <w:rFonts w:asciiTheme="minorHAnsi" w:hAnsiTheme="minorHAnsi"/>
          <w:bCs/>
        </w:rPr>
        <w:t>,</w:t>
      </w:r>
      <w:r w:rsidR="00962141" w:rsidRPr="00F954EB">
        <w:rPr>
          <w:rFonts w:asciiTheme="minorHAnsi" w:hAnsiTheme="minorHAnsi"/>
          <w:bCs/>
        </w:rPr>
        <w:t xml:space="preserve"> </w:t>
      </w:r>
      <w:r w:rsidR="00317AAE">
        <w:rPr>
          <w:rFonts w:asciiTheme="minorHAnsi" w:hAnsiTheme="minorHAnsi"/>
          <w:bCs/>
        </w:rPr>
        <w:t>have had no adverse affect on population growth.</w:t>
      </w:r>
      <w:r w:rsidR="00962141" w:rsidRPr="00F954EB">
        <w:rPr>
          <w:rFonts w:asciiTheme="minorHAnsi" w:hAnsiTheme="minorHAnsi"/>
          <w:bCs/>
        </w:rPr>
        <w:t xml:space="preserve"> </w:t>
      </w:r>
      <w:r w:rsidR="00317AAE">
        <w:rPr>
          <w:rFonts w:asciiTheme="minorHAnsi" w:hAnsiTheme="minorHAnsi"/>
          <w:bCs/>
        </w:rPr>
        <w:t xml:space="preserve"> </w:t>
      </w:r>
      <w:r w:rsidR="003B2B43" w:rsidRPr="00F954EB">
        <w:rPr>
          <w:rFonts w:asciiTheme="minorHAnsi" w:hAnsiTheme="minorHAnsi"/>
          <w:bCs/>
        </w:rPr>
        <w:t xml:space="preserve">In both of these analyses, </w:t>
      </w:r>
      <w:r w:rsidR="00317AAE">
        <w:rPr>
          <w:rFonts w:asciiTheme="minorHAnsi" w:hAnsiTheme="minorHAnsi"/>
          <w:bCs/>
        </w:rPr>
        <w:t>the determined upper bounds of the population</w:t>
      </w:r>
      <w:r w:rsidR="003B2B43" w:rsidRPr="00F954EB">
        <w:rPr>
          <w:rFonts w:asciiTheme="minorHAnsi" w:hAnsiTheme="minorHAnsi"/>
          <w:bCs/>
        </w:rPr>
        <w:t xml:space="preserve"> are less than 25,000 and</w:t>
      </w:r>
      <w:r w:rsidR="008F1A1E" w:rsidRPr="00F954EB">
        <w:rPr>
          <w:rFonts w:asciiTheme="minorHAnsi" w:hAnsiTheme="minorHAnsi"/>
          <w:bCs/>
        </w:rPr>
        <w:t xml:space="preserve"> more likely around 10,000, </w:t>
      </w:r>
      <w:r w:rsidR="003B2B43" w:rsidRPr="00F954EB">
        <w:rPr>
          <w:rFonts w:asciiTheme="minorHAnsi" w:hAnsiTheme="minorHAnsi"/>
          <w:bCs/>
        </w:rPr>
        <w:t>if you only consider available warm water outflows.  When we consider SAV as a potential limiting factor, the numbers are further reduced as indicated below.</w:t>
      </w:r>
    </w:p>
    <w:p w14:paraId="672FD2EC" w14:textId="77777777" w:rsidR="00FF5FD4" w:rsidRPr="00F954EB" w:rsidRDefault="00FF5FD4" w:rsidP="00F4371C">
      <w:pPr>
        <w:pStyle w:val="Default"/>
        <w:rPr>
          <w:rFonts w:asciiTheme="minorHAnsi" w:hAnsiTheme="minorHAnsi"/>
          <w:bCs/>
        </w:rPr>
      </w:pPr>
    </w:p>
    <w:p w14:paraId="070B6DAD" w14:textId="77777777" w:rsidR="00317AAE" w:rsidRDefault="00715A49" w:rsidP="00F4371C">
      <w:pPr>
        <w:pStyle w:val="Default"/>
        <w:rPr>
          <w:rFonts w:asciiTheme="minorHAnsi" w:hAnsiTheme="minorHAnsi"/>
          <w:bCs/>
        </w:rPr>
      </w:pPr>
      <w:r w:rsidRPr="00F954EB">
        <w:rPr>
          <w:rFonts w:asciiTheme="minorHAnsi" w:hAnsiTheme="minorHAnsi"/>
          <w:bCs/>
        </w:rPr>
        <w:t xml:space="preserve">The </w:t>
      </w:r>
      <w:r w:rsidR="003B2B43" w:rsidRPr="00F954EB">
        <w:rPr>
          <w:rFonts w:asciiTheme="minorHAnsi" w:hAnsiTheme="minorHAnsi"/>
          <w:bCs/>
        </w:rPr>
        <w:t xml:space="preserve">IHA Study </w:t>
      </w:r>
      <w:r w:rsidRPr="00F954EB">
        <w:rPr>
          <w:rFonts w:asciiTheme="minorHAnsi" w:hAnsiTheme="minorHAnsi"/>
          <w:bCs/>
        </w:rPr>
        <w:t>input</w:t>
      </w:r>
      <w:r w:rsidR="004F40C5" w:rsidRPr="00F954EB">
        <w:rPr>
          <w:rFonts w:asciiTheme="minorHAnsi" w:hAnsiTheme="minorHAnsi"/>
          <w:bCs/>
        </w:rPr>
        <w:t xml:space="preserve"> variables in the simulation analysis </w:t>
      </w:r>
      <w:r w:rsidRPr="00F954EB">
        <w:rPr>
          <w:rFonts w:asciiTheme="minorHAnsi" w:hAnsiTheme="minorHAnsi"/>
          <w:bCs/>
        </w:rPr>
        <w:t>with respect to SAV were</w:t>
      </w:r>
      <w:r w:rsidR="00317AAE">
        <w:rPr>
          <w:rFonts w:asciiTheme="minorHAnsi" w:hAnsiTheme="minorHAnsi"/>
          <w:bCs/>
        </w:rPr>
        <w:t>:</w:t>
      </w:r>
      <w:r w:rsidRPr="00F954EB">
        <w:rPr>
          <w:rFonts w:asciiTheme="minorHAnsi" w:hAnsiTheme="minorHAnsi"/>
          <w:bCs/>
        </w:rPr>
        <w:t xml:space="preserve"> </w:t>
      </w:r>
    </w:p>
    <w:p w14:paraId="7D39437F" w14:textId="77777777" w:rsidR="00317AAE" w:rsidRDefault="00317AAE" w:rsidP="00317AAE">
      <w:pPr>
        <w:pStyle w:val="Default"/>
        <w:ind w:firstLine="720"/>
        <w:rPr>
          <w:rFonts w:asciiTheme="minorHAnsi" w:hAnsiTheme="minorHAnsi"/>
          <w:bCs/>
        </w:rPr>
      </w:pPr>
      <w:r>
        <w:rPr>
          <w:rFonts w:asciiTheme="minorHAnsi" w:hAnsiTheme="minorHAnsi"/>
          <w:bCs/>
        </w:rPr>
        <w:t xml:space="preserve">1) </w:t>
      </w:r>
      <w:r w:rsidR="00715A49" w:rsidRPr="00F954EB">
        <w:rPr>
          <w:rFonts w:asciiTheme="minorHAnsi" w:hAnsiTheme="minorHAnsi"/>
          <w:bCs/>
        </w:rPr>
        <w:t>m</w:t>
      </w:r>
      <w:r w:rsidR="00715A49" w:rsidRPr="00F954EB">
        <w:rPr>
          <w:rFonts w:asciiTheme="minorHAnsi" w:hAnsiTheme="minorHAnsi"/>
          <w:vertAlign w:val="superscript"/>
        </w:rPr>
        <w:t>2</w:t>
      </w:r>
      <w:r w:rsidR="00715A49" w:rsidRPr="00F954EB">
        <w:rPr>
          <w:rFonts w:asciiTheme="minorHAnsi" w:hAnsiTheme="minorHAnsi"/>
          <w:bCs/>
        </w:rPr>
        <w:t xml:space="preserve"> of SAV coverage </w:t>
      </w:r>
      <w:r>
        <w:rPr>
          <w:rFonts w:asciiTheme="minorHAnsi" w:hAnsiTheme="minorHAnsi"/>
          <w:bCs/>
        </w:rPr>
        <w:t xml:space="preserve">within a 30 km radius; </w:t>
      </w:r>
    </w:p>
    <w:p w14:paraId="49907E6D" w14:textId="77777777" w:rsidR="00317AAE" w:rsidRDefault="00317AAE" w:rsidP="00317AAE">
      <w:pPr>
        <w:pStyle w:val="Default"/>
        <w:ind w:firstLine="720"/>
        <w:rPr>
          <w:rFonts w:asciiTheme="minorHAnsi" w:hAnsiTheme="minorHAnsi"/>
          <w:bCs/>
        </w:rPr>
      </w:pPr>
      <w:r>
        <w:rPr>
          <w:rFonts w:asciiTheme="minorHAnsi" w:hAnsiTheme="minorHAnsi"/>
          <w:bCs/>
        </w:rPr>
        <w:t xml:space="preserve">2) </w:t>
      </w:r>
      <w:r w:rsidR="00715A49" w:rsidRPr="00F954EB">
        <w:rPr>
          <w:rFonts w:asciiTheme="minorHAnsi" w:hAnsiTheme="minorHAnsi"/>
          <w:bCs/>
        </w:rPr>
        <w:t>SAV density (kg/ m</w:t>
      </w:r>
      <w:r w:rsidR="00715A49" w:rsidRPr="00F954EB">
        <w:rPr>
          <w:rFonts w:asciiTheme="minorHAnsi" w:hAnsiTheme="minorHAnsi"/>
          <w:vertAlign w:val="superscript"/>
        </w:rPr>
        <w:t>2</w:t>
      </w:r>
      <w:r w:rsidR="00715A49" w:rsidRPr="00F954EB">
        <w:rPr>
          <w:rFonts w:asciiTheme="minorHAnsi" w:hAnsiTheme="minorHAnsi"/>
          <w:bCs/>
        </w:rPr>
        <w:t>), and</w:t>
      </w:r>
      <w:r>
        <w:rPr>
          <w:rFonts w:asciiTheme="minorHAnsi" w:hAnsiTheme="minorHAnsi"/>
          <w:bCs/>
        </w:rPr>
        <w:t xml:space="preserve">; </w:t>
      </w:r>
    </w:p>
    <w:p w14:paraId="3A13C7E8" w14:textId="77777777" w:rsidR="00317AAE" w:rsidRDefault="00317AAE" w:rsidP="00317AAE">
      <w:pPr>
        <w:pStyle w:val="Default"/>
        <w:ind w:firstLine="720"/>
        <w:rPr>
          <w:rFonts w:asciiTheme="minorHAnsi" w:hAnsiTheme="minorHAnsi"/>
          <w:bCs/>
        </w:rPr>
      </w:pPr>
      <w:r>
        <w:rPr>
          <w:rFonts w:asciiTheme="minorHAnsi" w:hAnsiTheme="minorHAnsi"/>
          <w:bCs/>
        </w:rPr>
        <w:t>3)</w:t>
      </w:r>
      <w:r w:rsidR="00715A49" w:rsidRPr="00F954EB">
        <w:rPr>
          <w:rFonts w:asciiTheme="minorHAnsi" w:hAnsiTheme="minorHAnsi"/>
          <w:bCs/>
        </w:rPr>
        <w:t xml:space="preserve"> SAV winter growth rate in days.  </w:t>
      </w:r>
    </w:p>
    <w:p w14:paraId="07990005" w14:textId="7F992457" w:rsidR="00F4371C" w:rsidRPr="00F954EB" w:rsidRDefault="00715A49" w:rsidP="00317AAE">
      <w:pPr>
        <w:pStyle w:val="Default"/>
        <w:rPr>
          <w:rFonts w:asciiTheme="minorHAnsi" w:hAnsiTheme="minorHAnsi"/>
          <w:bCs/>
        </w:rPr>
      </w:pPr>
      <w:r w:rsidRPr="00F954EB">
        <w:rPr>
          <w:rFonts w:asciiTheme="minorHAnsi" w:hAnsiTheme="minorHAnsi"/>
          <w:bCs/>
        </w:rPr>
        <w:t>The IHA study concentrated on a sustainable period of 120 days based on an extended winter.</w:t>
      </w:r>
      <w:r w:rsidR="00FF5FD4" w:rsidRPr="00F954EB">
        <w:rPr>
          <w:rFonts w:asciiTheme="minorHAnsi" w:hAnsiTheme="minorHAnsi"/>
          <w:bCs/>
        </w:rPr>
        <w:t xml:space="preserve">  </w:t>
      </w:r>
      <w:r w:rsidR="003B2B43" w:rsidRPr="00F954EB">
        <w:rPr>
          <w:rFonts w:asciiTheme="minorHAnsi" w:hAnsiTheme="minorHAnsi"/>
          <w:bCs/>
        </w:rPr>
        <w:t xml:space="preserve">SAV coverage was based on expert input.  </w:t>
      </w:r>
      <w:r w:rsidR="00FF5FD4" w:rsidRPr="00F954EB">
        <w:rPr>
          <w:rFonts w:asciiTheme="minorHAnsi" w:hAnsiTheme="minorHAnsi"/>
          <w:bCs/>
        </w:rPr>
        <w:t xml:space="preserve">The assumption </w:t>
      </w:r>
      <w:r w:rsidR="003B2B43" w:rsidRPr="00F954EB">
        <w:rPr>
          <w:rFonts w:asciiTheme="minorHAnsi" w:hAnsiTheme="minorHAnsi"/>
          <w:bCs/>
        </w:rPr>
        <w:t xml:space="preserve">for growth </w:t>
      </w:r>
      <w:r w:rsidR="00FF5FD4" w:rsidRPr="00F954EB">
        <w:rPr>
          <w:rFonts w:asciiTheme="minorHAnsi" w:hAnsiTheme="minorHAnsi"/>
          <w:bCs/>
        </w:rPr>
        <w:t xml:space="preserve">was full SAV regrowth rates of 100 – 192 days and </w:t>
      </w:r>
      <w:r w:rsidR="003B2B43" w:rsidRPr="00F954EB">
        <w:rPr>
          <w:rFonts w:asciiTheme="minorHAnsi" w:hAnsiTheme="minorHAnsi"/>
          <w:bCs/>
        </w:rPr>
        <w:t>the</w:t>
      </w:r>
      <w:r w:rsidR="00FF5FD4" w:rsidRPr="00F954EB">
        <w:rPr>
          <w:rFonts w:asciiTheme="minorHAnsi" w:hAnsiTheme="minorHAnsi"/>
          <w:bCs/>
        </w:rPr>
        <w:t xml:space="preserve"> SAV biomass </w:t>
      </w:r>
      <w:r w:rsidR="00466DAD" w:rsidRPr="00F954EB">
        <w:rPr>
          <w:rFonts w:asciiTheme="minorHAnsi" w:hAnsiTheme="minorHAnsi"/>
          <w:bCs/>
        </w:rPr>
        <w:t>range was 7,003</w:t>
      </w:r>
      <w:r w:rsidR="003B2B43" w:rsidRPr="00F954EB">
        <w:rPr>
          <w:rFonts w:asciiTheme="minorHAnsi" w:hAnsiTheme="minorHAnsi"/>
          <w:bCs/>
        </w:rPr>
        <w:t xml:space="preserve"> </w:t>
      </w:r>
      <w:r w:rsidR="002F2FC3" w:rsidRPr="00F954EB">
        <w:rPr>
          <w:rFonts w:asciiTheme="minorHAnsi" w:hAnsiTheme="minorHAnsi"/>
          <w:bCs/>
        </w:rPr>
        <w:t>to</w:t>
      </w:r>
      <w:r w:rsidR="00466DAD" w:rsidRPr="00F954EB">
        <w:rPr>
          <w:rFonts w:asciiTheme="minorHAnsi" w:hAnsiTheme="minorHAnsi"/>
          <w:bCs/>
        </w:rPr>
        <w:t xml:space="preserve"> 14,453</w:t>
      </w:r>
      <w:r w:rsidR="003B2B43" w:rsidRPr="00F954EB">
        <w:rPr>
          <w:rFonts w:asciiTheme="minorHAnsi" w:hAnsiTheme="minorHAnsi"/>
          <w:bCs/>
        </w:rPr>
        <w:t xml:space="preserve"> </w:t>
      </w:r>
      <w:proofErr w:type="spellStart"/>
      <w:r w:rsidR="003B2B43" w:rsidRPr="00F954EB">
        <w:rPr>
          <w:rFonts w:asciiTheme="minorHAnsi" w:hAnsiTheme="minorHAnsi"/>
          <w:bCs/>
        </w:rPr>
        <w:t>lbs</w:t>
      </w:r>
      <w:proofErr w:type="spellEnd"/>
      <w:r w:rsidR="003B2B43" w:rsidRPr="00F954EB">
        <w:rPr>
          <w:rFonts w:asciiTheme="minorHAnsi" w:hAnsiTheme="minorHAnsi"/>
          <w:bCs/>
        </w:rPr>
        <w:t>(wet) / a</w:t>
      </w:r>
      <w:r w:rsidR="00FF5FD4" w:rsidRPr="00F954EB">
        <w:rPr>
          <w:rFonts w:asciiTheme="minorHAnsi" w:hAnsiTheme="minorHAnsi"/>
          <w:bCs/>
        </w:rPr>
        <w:t xml:space="preserve">cre.  These values are </w:t>
      </w:r>
      <w:r w:rsidR="00EA3546" w:rsidRPr="00F954EB">
        <w:rPr>
          <w:rFonts w:asciiTheme="minorHAnsi" w:hAnsiTheme="minorHAnsi"/>
          <w:bCs/>
        </w:rPr>
        <w:t>a direct conversion</w:t>
      </w:r>
      <w:r w:rsidR="00FF5FD4" w:rsidRPr="00F954EB">
        <w:rPr>
          <w:rFonts w:asciiTheme="minorHAnsi" w:hAnsiTheme="minorHAnsi"/>
          <w:bCs/>
        </w:rPr>
        <w:t xml:space="preserve"> from the values found in Table 1 of the IHA study</w:t>
      </w:r>
      <w:r w:rsidR="00F02B31" w:rsidRPr="00F954EB">
        <w:rPr>
          <w:rFonts w:asciiTheme="minorHAnsi" w:hAnsiTheme="minorHAnsi"/>
          <w:bCs/>
        </w:rPr>
        <w:t xml:space="preserve">, reproduced </w:t>
      </w:r>
      <w:r w:rsidR="00317AAE">
        <w:rPr>
          <w:rFonts w:asciiTheme="minorHAnsi" w:hAnsiTheme="minorHAnsi"/>
          <w:bCs/>
        </w:rPr>
        <w:t>here</w:t>
      </w:r>
      <w:r w:rsidR="00FF5FD4" w:rsidRPr="00F954EB">
        <w:rPr>
          <w:rFonts w:asciiTheme="minorHAnsi" w:hAnsiTheme="minorHAnsi"/>
          <w:bCs/>
        </w:rPr>
        <w:t>.</w:t>
      </w:r>
    </w:p>
    <w:p w14:paraId="45ED0DB8" w14:textId="7368EA1C" w:rsidR="00B57929" w:rsidRPr="00F954EB" w:rsidRDefault="00EA3546" w:rsidP="00EA3546">
      <w:pPr>
        <w:pStyle w:val="Default"/>
        <w:jc w:val="center"/>
        <w:rPr>
          <w:rFonts w:asciiTheme="minorHAnsi" w:hAnsiTheme="minorHAnsi"/>
          <w:bCs/>
        </w:rPr>
      </w:pPr>
      <w:r w:rsidRPr="00F954EB">
        <w:rPr>
          <w:rFonts w:asciiTheme="minorHAnsi" w:hAnsiTheme="minorHAnsi"/>
          <w:bCs/>
          <w:noProof/>
        </w:rPr>
        <w:drawing>
          <wp:inline distT="0" distB="0" distL="0" distR="0" wp14:anchorId="61A9C92C" wp14:editId="28203FC1">
            <wp:extent cx="4343400" cy="1862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4301" cy="1862804"/>
                    </a:xfrm>
                    <a:prstGeom prst="rect">
                      <a:avLst/>
                    </a:prstGeom>
                    <a:noFill/>
                    <a:ln>
                      <a:noFill/>
                    </a:ln>
                  </pic:spPr>
                </pic:pic>
              </a:graphicData>
            </a:graphic>
          </wp:inline>
        </w:drawing>
      </w:r>
    </w:p>
    <w:p w14:paraId="783A85BC" w14:textId="54CB4FAE" w:rsidR="00EA3546" w:rsidRPr="00F954EB" w:rsidRDefault="00EA3546" w:rsidP="00EA3546">
      <w:pPr>
        <w:pStyle w:val="Default"/>
        <w:ind w:left="720"/>
        <w:rPr>
          <w:rFonts w:asciiTheme="minorHAnsi" w:hAnsiTheme="minorHAnsi"/>
          <w:vertAlign w:val="superscript"/>
        </w:rPr>
      </w:pPr>
      <w:r w:rsidRPr="00F954EB">
        <w:rPr>
          <w:rFonts w:asciiTheme="minorHAnsi" w:hAnsiTheme="minorHAnsi"/>
          <w:vertAlign w:val="superscript"/>
        </w:rPr>
        <w:t xml:space="preserve">      Source: IHA Study</w:t>
      </w:r>
    </w:p>
    <w:p w14:paraId="31B690A1" w14:textId="77777777" w:rsidR="00317AAE" w:rsidRDefault="00FF5FD4" w:rsidP="00F4371C">
      <w:pPr>
        <w:pStyle w:val="Default"/>
        <w:rPr>
          <w:rFonts w:asciiTheme="minorHAnsi" w:hAnsiTheme="minorHAnsi"/>
          <w:bCs/>
        </w:rPr>
      </w:pPr>
      <w:r w:rsidRPr="00F954EB">
        <w:rPr>
          <w:rFonts w:asciiTheme="minorHAnsi" w:hAnsiTheme="minorHAnsi"/>
          <w:bCs/>
        </w:rPr>
        <w:t xml:space="preserve">Because of the relevance and consistency with the results of the </w:t>
      </w:r>
      <w:r w:rsidR="006D4EAE" w:rsidRPr="00F954EB">
        <w:rPr>
          <w:rFonts w:asciiTheme="minorHAnsi" w:hAnsiTheme="minorHAnsi"/>
          <w:bCs/>
        </w:rPr>
        <w:t>our</w:t>
      </w:r>
      <w:r w:rsidR="002F2FC3" w:rsidRPr="00F954EB">
        <w:rPr>
          <w:rFonts w:asciiTheme="minorHAnsi" w:hAnsiTheme="minorHAnsi"/>
          <w:bCs/>
        </w:rPr>
        <w:t xml:space="preserve"> own analysis of the </w:t>
      </w:r>
      <w:r w:rsidR="00317AAE">
        <w:rPr>
          <w:rFonts w:asciiTheme="minorHAnsi" w:hAnsiTheme="minorHAnsi"/>
          <w:bCs/>
        </w:rPr>
        <w:t xml:space="preserve">local area </w:t>
      </w:r>
      <w:r w:rsidR="002F2FC3" w:rsidRPr="00F954EB">
        <w:rPr>
          <w:rFonts w:asciiTheme="minorHAnsi" w:hAnsiTheme="minorHAnsi"/>
          <w:bCs/>
        </w:rPr>
        <w:t>CC for the Indian River Lagoon, t</w:t>
      </w:r>
      <w:r w:rsidRPr="00F954EB">
        <w:rPr>
          <w:rFonts w:asciiTheme="minorHAnsi" w:hAnsiTheme="minorHAnsi"/>
          <w:bCs/>
        </w:rPr>
        <w:t>he results for three of the sites in th</w:t>
      </w:r>
      <w:r w:rsidR="003B2B43" w:rsidRPr="00F954EB">
        <w:rPr>
          <w:rFonts w:asciiTheme="minorHAnsi" w:hAnsiTheme="minorHAnsi"/>
          <w:bCs/>
        </w:rPr>
        <w:t xml:space="preserve">e IHA study are included here.   </w:t>
      </w:r>
      <w:r w:rsidR="00006A50" w:rsidRPr="00F954EB">
        <w:rPr>
          <w:rFonts w:asciiTheme="minorHAnsi" w:hAnsiTheme="minorHAnsi"/>
          <w:bCs/>
        </w:rPr>
        <w:t xml:space="preserve">These are the Sebastian River / C-54 Canal area, Berkeley Canal, and Harbor Branch Canal.  </w:t>
      </w:r>
    </w:p>
    <w:p w14:paraId="315A5795" w14:textId="77777777" w:rsidR="00317AAE" w:rsidRDefault="00317AAE" w:rsidP="00F4371C">
      <w:pPr>
        <w:pStyle w:val="Default"/>
        <w:rPr>
          <w:rFonts w:asciiTheme="minorHAnsi" w:hAnsiTheme="minorHAnsi"/>
          <w:bCs/>
        </w:rPr>
      </w:pPr>
    </w:p>
    <w:p w14:paraId="5CF20A30" w14:textId="11576A7E" w:rsidR="00006A50" w:rsidRPr="00F954EB" w:rsidRDefault="00006A50" w:rsidP="00F4371C">
      <w:pPr>
        <w:pStyle w:val="Default"/>
        <w:rPr>
          <w:rFonts w:asciiTheme="minorHAnsi" w:hAnsiTheme="minorHAnsi"/>
          <w:bCs/>
        </w:rPr>
      </w:pPr>
      <w:r w:rsidRPr="00F954EB">
        <w:rPr>
          <w:rFonts w:asciiTheme="minorHAnsi" w:hAnsiTheme="minorHAnsi"/>
          <w:bCs/>
        </w:rPr>
        <w:t xml:space="preserve">All three sites were determined to have SAV limited CC.  Collectively, the 30km radius around these sites overlaps to include all areas of Sykes Creek, all of the </w:t>
      </w:r>
      <w:r w:rsidR="006D4EAE" w:rsidRPr="00F954EB">
        <w:rPr>
          <w:rFonts w:asciiTheme="minorHAnsi" w:hAnsiTheme="minorHAnsi"/>
          <w:bCs/>
        </w:rPr>
        <w:lastRenderedPageBreak/>
        <w:t>Banana R</w:t>
      </w:r>
      <w:r w:rsidR="00F933CB" w:rsidRPr="00F954EB">
        <w:rPr>
          <w:rFonts w:asciiTheme="minorHAnsi" w:hAnsiTheme="minorHAnsi"/>
          <w:bCs/>
        </w:rPr>
        <w:t xml:space="preserve">iver into the northern Federal Restricted Zone, and the Indian River </w:t>
      </w:r>
      <w:r w:rsidR="006D4EAE" w:rsidRPr="00F954EB">
        <w:rPr>
          <w:rFonts w:asciiTheme="minorHAnsi" w:hAnsiTheme="minorHAnsi"/>
          <w:bCs/>
        </w:rPr>
        <w:t>–</w:t>
      </w:r>
      <w:r w:rsidR="00F933CB" w:rsidRPr="00F954EB">
        <w:rPr>
          <w:rFonts w:asciiTheme="minorHAnsi" w:hAnsiTheme="minorHAnsi"/>
          <w:bCs/>
        </w:rPr>
        <w:t xml:space="preserve"> </w:t>
      </w:r>
      <w:r w:rsidR="006D4EAE" w:rsidRPr="00F954EB">
        <w:rPr>
          <w:rFonts w:asciiTheme="minorHAnsi" w:hAnsiTheme="minorHAnsi"/>
          <w:bCs/>
        </w:rPr>
        <w:t xml:space="preserve">from just </w:t>
      </w:r>
      <w:r w:rsidR="00F933CB" w:rsidRPr="00F954EB">
        <w:rPr>
          <w:rFonts w:asciiTheme="minorHAnsi" w:hAnsiTheme="minorHAnsi"/>
          <w:bCs/>
        </w:rPr>
        <w:t>south of SR 520 (Cocoa)</w:t>
      </w:r>
      <w:r w:rsidR="00EB0C38" w:rsidRPr="00F954EB">
        <w:rPr>
          <w:rFonts w:asciiTheme="minorHAnsi" w:hAnsiTheme="minorHAnsi"/>
          <w:bCs/>
        </w:rPr>
        <w:t xml:space="preserve"> to around</w:t>
      </w:r>
      <w:r w:rsidR="002B3628" w:rsidRPr="00F954EB">
        <w:rPr>
          <w:rFonts w:asciiTheme="minorHAnsi" w:hAnsiTheme="minorHAnsi"/>
          <w:bCs/>
        </w:rPr>
        <w:t xml:space="preserve"> </w:t>
      </w:r>
      <w:r w:rsidR="00EB0C38" w:rsidRPr="00F954EB">
        <w:rPr>
          <w:rFonts w:asciiTheme="minorHAnsi" w:hAnsiTheme="minorHAnsi"/>
          <w:bCs/>
        </w:rPr>
        <w:t>20</w:t>
      </w:r>
      <w:r w:rsidR="002B3628" w:rsidRPr="00F954EB">
        <w:rPr>
          <w:rFonts w:asciiTheme="minorHAnsi" w:hAnsiTheme="minorHAnsi"/>
          <w:bCs/>
        </w:rPr>
        <w:t xml:space="preserve"> </w:t>
      </w:r>
      <w:r w:rsidR="00EB0C38" w:rsidRPr="00F954EB">
        <w:rPr>
          <w:rFonts w:asciiTheme="minorHAnsi" w:hAnsiTheme="minorHAnsi"/>
          <w:bCs/>
        </w:rPr>
        <w:t>km south of Ft Pierc</w:t>
      </w:r>
      <w:r w:rsidR="001C51AF" w:rsidRPr="00F954EB">
        <w:rPr>
          <w:rFonts w:asciiTheme="minorHAnsi" w:hAnsiTheme="minorHAnsi"/>
          <w:bCs/>
        </w:rPr>
        <w:t>e inlet</w:t>
      </w:r>
      <w:r w:rsidR="00317AAE">
        <w:rPr>
          <w:rFonts w:asciiTheme="minorHAnsi" w:hAnsiTheme="minorHAnsi"/>
          <w:bCs/>
        </w:rPr>
        <w:t>.  The figure below</w:t>
      </w:r>
      <w:r w:rsidR="006D4EAE" w:rsidRPr="00F954EB">
        <w:rPr>
          <w:rFonts w:asciiTheme="minorHAnsi" w:hAnsiTheme="minorHAnsi"/>
          <w:bCs/>
        </w:rPr>
        <w:t>, taken from the IHA study, illustrates the actual upper and lower extremes of the IRL and highlights the areas evaluated by the IHA study.</w:t>
      </w:r>
      <w:r w:rsidR="001C51AF" w:rsidRPr="00F954EB">
        <w:rPr>
          <w:rFonts w:asciiTheme="minorHAnsi" w:hAnsiTheme="minorHAnsi"/>
          <w:bCs/>
        </w:rPr>
        <w:t xml:space="preserve"> </w:t>
      </w:r>
    </w:p>
    <w:p w14:paraId="08CB516E" w14:textId="5E3A8273" w:rsidR="002B3628" w:rsidRPr="00F954EB" w:rsidRDefault="00317AAE" w:rsidP="00F4371C">
      <w:pPr>
        <w:pStyle w:val="Default"/>
        <w:rPr>
          <w:rFonts w:asciiTheme="minorHAnsi" w:hAnsiTheme="minorHAnsi"/>
          <w:bCs/>
        </w:rPr>
      </w:pPr>
      <w:r w:rsidRPr="00F954EB">
        <w:rPr>
          <w:rFonts w:asciiTheme="minorHAnsi" w:hAnsiTheme="minorHAnsi"/>
          <w:bCs/>
          <w:noProof/>
        </w:rPr>
        <w:drawing>
          <wp:anchor distT="0" distB="0" distL="114300" distR="114300" simplePos="0" relativeHeight="251660288" behindDoc="0" locked="0" layoutInCell="1" allowOverlap="1" wp14:anchorId="51421585" wp14:editId="090D5813">
            <wp:simplePos x="0" y="0"/>
            <wp:positionH relativeFrom="column">
              <wp:posOffset>0</wp:posOffset>
            </wp:positionH>
            <wp:positionV relativeFrom="paragraph">
              <wp:posOffset>99695</wp:posOffset>
            </wp:positionV>
            <wp:extent cx="1028700" cy="2138045"/>
            <wp:effectExtent l="0" t="0" r="12700"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2138045"/>
                    </a:xfrm>
                    <a:prstGeom prst="rect">
                      <a:avLst/>
                    </a:prstGeom>
                    <a:noFill/>
                    <a:ln>
                      <a:noFill/>
                    </a:ln>
                  </pic:spPr>
                </pic:pic>
              </a:graphicData>
            </a:graphic>
          </wp:anchor>
        </w:drawing>
      </w:r>
    </w:p>
    <w:p w14:paraId="65ABA245" w14:textId="77777777" w:rsidR="00EE27C7" w:rsidRDefault="002B3628" w:rsidP="00F4371C">
      <w:pPr>
        <w:pStyle w:val="Default"/>
        <w:rPr>
          <w:rFonts w:asciiTheme="minorHAnsi" w:hAnsiTheme="minorHAnsi"/>
          <w:bCs/>
        </w:rPr>
      </w:pPr>
      <w:r w:rsidRPr="00F954EB">
        <w:rPr>
          <w:rFonts w:asciiTheme="minorHAnsi" w:hAnsiTheme="minorHAnsi"/>
          <w:bCs/>
        </w:rPr>
        <w:t xml:space="preserve">The following table illustrates the </w:t>
      </w:r>
      <w:r w:rsidR="006D4EAE" w:rsidRPr="00F954EB">
        <w:rPr>
          <w:rFonts w:asciiTheme="minorHAnsi" w:hAnsiTheme="minorHAnsi"/>
          <w:bCs/>
        </w:rPr>
        <w:t>some specific</w:t>
      </w:r>
      <w:r w:rsidRPr="00F954EB">
        <w:rPr>
          <w:rFonts w:asciiTheme="minorHAnsi" w:hAnsiTheme="minorHAnsi"/>
          <w:bCs/>
        </w:rPr>
        <w:t xml:space="preserve"> percentile values for the 10,000 simulation runs </w:t>
      </w:r>
      <w:r w:rsidR="00EA5362" w:rsidRPr="00F954EB">
        <w:rPr>
          <w:rFonts w:asciiTheme="minorHAnsi" w:hAnsiTheme="minorHAnsi"/>
          <w:bCs/>
        </w:rPr>
        <w:t xml:space="preserve">of the IHA Study </w:t>
      </w:r>
      <w:r w:rsidRPr="00F954EB">
        <w:rPr>
          <w:rFonts w:asciiTheme="minorHAnsi" w:hAnsiTheme="minorHAnsi"/>
          <w:bCs/>
        </w:rPr>
        <w:t>for each of the I</w:t>
      </w:r>
      <w:r w:rsidR="00317AAE">
        <w:rPr>
          <w:rFonts w:asciiTheme="minorHAnsi" w:hAnsiTheme="minorHAnsi"/>
          <w:bCs/>
        </w:rPr>
        <w:t>RL sites.  Each of the values are</w:t>
      </w:r>
      <w:r w:rsidRPr="00F954EB">
        <w:rPr>
          <w:rFonts w:asciiTheme="minorHAnsi" w:hAnsiTheme="minorHAnsi"/>
          <w:bCs/>
        </w:rPr>
        <w:t xml:space="preserve"> </w:t>
      </w:r>
      <w:r w:rsidR="00317AAE">
        <w:rPr>
          <w:rFonts w:asciiTheme="minorHAnsi" w:hAnsiTheme="minorHAnsi"/>
          <w:bCs/>
        </w:rPr>
        <w:t xml:space="preserve">the limit to the total number of manatees resulting from the 10,000 trial Monte Carlo analysis of the IHA study.  These values were all </w:t>
      </w:r>
      <w:r w:rsidRPr="00F954EB">
        <w:rPr>
          <w:rFonts w:asciiTheme="minorHAnsi" w:hAnsiTheme="minorHAnsi"/>
          <w:bCs/>
        </w:rPr>
        <w:t xml:space="preserve">limited by available forage (SAV).  </w:t>
      </w:r>
      <w:r w:rsidR="00317AAE">
        <w:rPr>
          <w:rFonts w:asciiTheme="minorHAnsi" w:hAnsiTheme="minorHAnsi"/>
          <w:bCs/>
        </w:rPr>
        <w:t xml:space="preserve">The 0 and 100 percentile values bound all of the 10,000 results.  </w:t>
      </w:r>
      <w:r w:rsidRPr="00F954EB">
        <w:rPr>
          <w:rFonts w:asciiTheme="minorHAnsi" w:hAnsiTheme="minorHAnsi"/>
          <w:bCs/>
        </w:rPr>
        <w:t xml:space="preserve">One should note that at 90 and clearly at 100 percentile, </w:t>
      </w:r>
      <w:r w:rsidR="002F2FC3" w:rsidRPr="00F954EB">
        <w:rPr>
          <w:rFonts w:asciiTheme="minorHAnsi" w:hAnsiTheme="minorHAnsi"/>
          <w:bCs/>
        </w:rPr>
        <w:t>the end</w:t>
      </w:r>
      <w:r w:rsidR="004225A3" w:rsidRPr="00F954EB">
        <w:rPr>
          <w:rFonts w:asciiTheme="minorHAnsi" w:hAnsiTheme="minorHAnsi"/>
          <w:bCs/>
        </w:rPr>
        <w:t xml:space="preserve"> condition is such that</w:t>
      </w:r>
      <w:r w:rsidRPr="00F954EB">
        <w:rPr>
          <w:rFonts w:asciiTheme="minorHAnsi" w:hAnsiTheme="minorHAnsi"/>
          <w:bCs/>
        </w:rPr>
        <w:t xml:space="preserve"> ALL available forage has been consumed</w:t>
      </w:r>
      <w:r w:rsidR="004225A3" w:rsidRPr="00F954EB">
        <w:rPr>
          <w:rFonts w:asciiTheme="minorHAnsi" w:hAnsiTheme="minorHAnsi"/>
          <w:bCs/>
        </w:rPr>
        <w:t xml:space="preserve">.  One MUST consider the dire consequences this implies for the IRL ecosystem.  </w:t>
      </w:r>
    </w:p>
    <w:p w14:paraId="4D06CD38" w14:textId="77777777" w:rsidR="00EE27C7" w:rsidRDefault="00EE27C7" w:rsidP="00F4371C">
      <w:pPr>
        <w:pStyle w:val="Default"/>
        <w:rPr>
          <w:rFonts w:asciiTheme="minorHAnsi" w:hAnsiTheme="minorHAnsi"/>
          <w:bCs/>
        </w:rPr>
      </w:pPr>
    </w:p>
    <w:p w14:paraId="04A1186E" w14:textId="0C19B2F7" w:rsidR="00317AAE" w:rsidRDefault="00317AAE" w:rsidP="00F4371C">
      <w:pPr>
        <w:pStyle w:val="Default"/>
        <w:rPr>
          <w:rFonts w:asciiTheme="minorHAnsi" w:hAnsiTheme="minorHAnsi"/>
          <w:bCs/>
        </w:rPr>
      </w:pPr>
      <w:r>
        <w:rPr>
          <w:rFonts w:asciiTheme="minorHAnsi" w:hAnsiTheme="minorHAnsi"/>
          <w:bCs/>
        </w:rPr>
        <w:t>The</w:t>
      </w:r>
      <w:r w:rsidR="00EE27C7">
        <w:rPr>
          <w:rFonts w:asciiTheme="minorHAnsi" w:hAnsiTheme="minorHAnsi"/>
          <w:bCs/>
        </w:rPr>
        <w:t>refore,</w:t>
      </w:r>
      <w:r>
        <w:rPr>
          <w:rFonts w:asciiTheme="minorHAnsi" w:hAnsiTheme="minorHAnsi"/>
          <w:bCs/>
        </w:rPr>
        <w:t xml:space="preserve"> 100 percentile population</w:t>
      </w:r>
      <w:r w:rsidR="00A01127" w:rsidRPr="00F954EB">
        <w:rPr>
          <w:rFonts w:asciiTheme="minorHAnsi" w:hAnsiTheme="minorHAnsi"/>
          <w:bCs/>
        </w:rPr>
        <w:t xml:space="preserve"> predictions clearly </w:t>
      </w:r>
      <w:r>
        <w:rPr>
          <w:rFonts w:asciiTheme="minorHAnsi" w:hAnsiTheme="minorHAnsi"/>
          <w:bCs/>
        </w:rPr>
        <w:t>are equal to or exceed</w:t>
      </w:r>
      <w:r w:rsidR="00A01127" w:rsidRPr="00F954EB">
        <w:rPr>
          <w:rFonts w:asciiTheme="minorHAnsi" w:hAnsiTheme="minorHAnsi"/>
          <w:bCs/>
        </w:rPr>
        <w:t xml:space="preserve"> the local </w:t>
      </w:r>
      <w:r w:rsidR="00EE27C7">
        <w:rPr>
          <w:rFonts w:asciiTheme="minorHAnsi" w:hAnsiTheme="minorHAnsi"/>
          <w:bCs/>
        </w:rPr>
        <w:t xml:space="preserve">area </w:t>
      </w:r>
      <w:r w:rsidR="00A01127" w:rsidRPr="00F954EB">
        <w:rPr>
          <w:rFonts w:asciiTheme="minorHAnsi" w:hAnsiTheme="minorHAnsi"/>
          <w:bCs/>
        </w:rPr>
        <w:t xml:space="preserve">CC.  </w:t>
      </w:r>
      <w:r w:rsidR="00EE27C7">
        <w:rPr>
          <w:rFonts w:asciiTheme="minorHAnsi" w:hAnsiTheme="minorHAnsi"/>
          <w:bCs/>
        </w:rPr>
        <w:t>T</w:t>
      </w:r>
      <w:r>
        <w:rPr>
          <w:rFonts w:asciiTheme="minorHAnsi" w:hAnsiTheme="minorHAnsi"/>
          <w:bCs/>
        </w:rPr>
        <w:t>he 50 percentile results represent the median</w:t>
      </w:r>
      <w:r w:rsidR="00EE27C7">
        <w:rPr>
          <w:rFonts w:asciiTheme="minorHAnsi" w:hAnsiTheme="minorHAnsi"/>
          <w:bCs/>
        </w:rPr>
        <w:t xml:space="preserve"> (half of all results smaller and half larger).  The IHA Study authors chose to analyze CC based on the 50 percentile results.  One could argue that these values are valid determinations of the OSP for these areas.</w:t>
      </w:r>
    </w:p>
    <w:p w14:paraId="43B19C2D" w14:textId="77777777" w:rsidR="00317AAE" w:rsidRDefault="00317AAE" w:rsidP="00F4371C">
      <w:pPr>
        <w:pStyle w:val="Default"/>
        <w:rPr>
          <w:rFonts w:asciiTheme="minorHAnsi" w:hAnsiTheme="minorHAnsi"/>
          <w:bCs/>
        </w:rPr>
      </w:pPr>
    </w:p>
    <w:p w14:paraId="7AFF947E" w14:textId="2EA32593" w:rsidR="002B3628" w:rsidRDefault="00EE27C7" w:rsidP="00F4371C">
      <w:pPr>
        <w:pStyle w:val="Default"/>
        <w:rPr>
          <w:rFonts w:asciiTheme="minorHAnsi" w:hAnsiTheme="minorHAnsi"/>
          <w:bCs/>
        </w:rPr>
      </w:pPr>
      <w:r>
        <w:rPr>
          <w:rFonts w:asciiTheme="minorHAnsi" w:hAnsiTheme="minorHAnsi"/>
          <w:bCs/>
        </w:rPr>
        <w:t>One should be cautious that these numbers</w:t>
      </w:r>
      <w:r w:rsidR="004225A3" w:rsidRPr="00F954EB">
        <w:rPr>
          <w:rFonts w:asciiTheme="minorHAnsi" w:hAnsiTheme="minorHAnsi"/>
          <w:bCs/>
        </w:rPr>
        <w:t>, the analysis must be considered extremely optimistic, if not completely biased</w:t>
      </w:r>
      <w:r w:rsidR="00317AAE">
        <w:rPr>
          <w:rFonts w:asciiTheme="minorHAnsi" w:hAnsiTheme="minorHAnsi"/>
          <w:bCs/>
        </w:rPr>
        <w:t xml:space="preserve"> toward large value results.</w:t>
      </w:r>
      <w:r>
        <w:rPr>
          <w:rFonts w:asciiTheme="minorHAnsi" w:hAnsiTheme="minorHAnsi"/>
          <w:bCs/>
        </w:rPr>
        <w:t xml:space="preserve"> This is due to </w:t>
      </w:r>
      <w:r w:rsidR="004225A3" w:rsidRPr="00F954EB">
        <w:rPr>
          <w:rFonts w:asciiTheme="minorHAnsi" w:hAnsiTheme="minorHAnsi"/>
          <w:bCs/>
        </w:rPr>
        <w:t xml:space="preserve">the fact that </w:t>
      </w:r>
      <w:r>
        <w:rPr>
          <w:rFonts w:asciiTheme="minorHAnsi" w:hAnsiTheme="minorHAnsi"/>
          <w:bCs/>
        </w:rPr>
        <w:t>the regrowth rate range (100-120 days) makes</w:t>
      </w:r>
      <w:r w:rsidR="004225A3" w:rsidRPr="00F954EB">
        <w:rPr>
          <w:rFonts w:asciiTheme="minorHAnsi" w:hAnsiTheme="minorHAnsi"/>
          <w:bCs/>
        </w:rPr>
        <w:t xml:space="preserve"> no provision for extended regrowth (years) due to some percentage of the SAV having been uprooted during grazing and not </w:t>
      </w:r>
      <w:r>
        <w:rPr>
          <w:rFonts w:asciiTheme="minorHAnsi" w:hAnsiTheme="minorHAnsi"/>
          <w:bCs/>
        </w:rPr>
        <w:t xml:space="preserve">immediately capable of </w:t>
      </w:r>
      <w:r w:rsidR="001529C3">
        <w:rPr>
          <w:rFonts w:asciiTheme="minorHAnsi" w:hAnsiTheme="minorHAnsi"/>
          <w:bCs/>
        </w:rPr>
        <w:t xml:space="preserve">regrowth.  </w:t>
      </w:r>
      <w:r w:rsidR="006D4EAE" w:rsidRPr="00F954EB">
        <w:rPr>
          <w:rFonts w:asciiTheme="minorHAnsi" w:hAnsiTheme="minorHAnsi"/>
          <w:bCs/>
        </w:rPr>
        <w:t>We also note that other lesser estimates of SAV density exist.  The St Johns River Water Management District (</w:t>
      </w:r>
      <w:r w:rsidR="004225A3" w:rsidRPr="00F954EB">
        <w:rPr>
          <w:rFonts w:asciiTheme="minorHAnsi" w:hAnsiTheme="minorHAnsi"/>
          <w:bCs/>
        </w:rPr>
        <w:t>SJRW</w:t>
      </w:r>
      <w:r w:rsidR="006D4EAE" w:rsidRPr="00F954EB">
        <w:rPr>
          <w:rFonts w:asciiTheme="minorHAnsi" w:hAnsiTheme="minorHAnsi"/>
          <w:bCs/>
        </w:rPr>
        <w:t>M</w:t>
      </w:r>
      <w:r w:rsidR="004225A3" w:rsidRPr="00F954EB">
        <w:rPr>
          <w:rFonts w:asciiTheme="minorHAnsi" w:hAnsiTheme="minorHAnsi"/>
          <w:bCs/>
        </w:rPr>
        <w:t>D</w:t>
      </w:r>
      <w:r w:rsidR="006D4EAE" w:rsidRPr="00F954EB">
        <w:rPr>
          <w:rFonts w:asciiTheme="minorHAnsi" w:hAnsiTheme="minorHAnsi"/>
          <w:bCs/>
        </w:rPr>
        <w:t>)</w:t>
      </w:r>
      <w:r w:rsidR="004225A3" w:rsidRPr="00F954EB">
        <w:rPr>
          <w:rFonts w:asciiTheme="minorHAnsi" w:hAnsiTheme="minorHAnsi"/>
          <w:bCs/>
        </w:rPr>
        <w:t xml:space="preserve"> estimates that the SAV density in the IRL is more on the order of 1400 – 1500 </w:t>
      </w:r>
      <w:proofErr w:type="spellStart"/>
      <w:r w:rsidR="004225A3" w:rsidRPr="00F954EB">
        <w:rPr>
          <w:rFonts w:asciiTheme="minorHAnsi" w:hAnsiTheme="minorHAnsi"/>
          <w:bCs/>
        </w:rPr>
        <w:t>lbs</w:t>
      </w:r>
      <w:proofErr w:type="spellEnd"/>
      <w:r w:rsidR="004225A3" w:rsidRPr="00F954EB">
        <w:rPr>
          <w:rFonts w:asciiTheme="minorHAnsi" w:hAnsiTheme="minorHAnsi"/>
          <w:bCs/>
        </w:rPr>
        <w:t xml:space="preserve"> per acre</w:t>
      </w:r>
      <w:r w:rsidR="00EA5362" w:rsidRPr="00F954EB">
        <w:rPr>
          <w:rFonts w:asciiTheme="minorHAnsi" w:hAnsiTheme="minorHAnsi"/>
          <w:bCs/>
        </w:rPr>
        <w:t>, not the 7,000 – 14,000 range in the analysis</w:t>
      </w:r>
      <w:r w:rsidR="004225A3" w:rsidRPr="00F954EB">
        <w:rPr>
          <w:rFonts w:asciiTheme="minorHAnsi" w:hAnsiTheme="minorHAnsi"/>
          <w:bCs/>
        </w:rPr>
        <w:t>.</w:t>
      </w:r>
      <w:r w:rsidR="006D4EAE">
        <w:rPr>
          <w:rFonts w:asciiTheme="minorHAnsi" w:hAnsiTheme="minorHAnsi"/>
          <w:bCs/>
        </w:rPr>
        <w:t xml:space="preserve"> </w:t>
      </w:r>
    </w:p>
    <w:p w14:paraId="219A2D6C" w14:textId="77777777" w:rsidR="001C51AF" w:rsidRDefault="001C51AF" w:rsidP="00F4371C">
      <w:pPr>
        <w:pStyle w:val="Default"/>
        <w:rPr>
          <w:rFonts w:asciiTheme="minorHAnsi" w:hAnsiTheme="minorHAnsi"/>
          <w:bCs/>
        </w:rPr>
      </w:pPr>
    </w:p>
    <w:tbl>
      <w:tblPr>
        <w:tblStyle w:val="LightGrid"/>
        <w:tblW w:w="8856" w:type="dxa"/>
        <w:jc w:val="center"/>
        <w:tblLook w:val="04A0" w:firstRow="1" w:lastRow="0" w:firstColumn="1" w:lastColumn="0" w:noHBand="0" w:noVBand="1"/>
      </w:tblPr>
      <w:tblGrid>
        <w:gridCol w:w="1771"/>
        <w:gridCol w:w="1771"/>
        <w:gridCol w:w="1771"/>
        <w:gridCol w:w="1771"/>
        <w:gridCol w:w="1772"/>
      </w:tblGrid>
      <w:tr w:rsidR="00EB0C38" w:rsidRPr="00F954EB" w14:paraId="143DA8FB" w14:textId="77777777" w:rsidTr="002B36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14:paraId="66E11472" w14:textId="1CB29331" w:rsidR="00EB0C38" w:rsidRPr="00F954EB" w:rsidRDefault="00EB0C38" w:rsidP="00F4371C">
            <w:pPr>
              <w:pStyle w:val="Default"/>
              <w:rPr>
                <w:rFonts w:asciiTheme="minorHAnsi" w:hAnsiTheme="minorHAnsi"/>
                <w:bCs w:val="0"/>
                <w:sz w:val="20"/>
                <w:szCs w:val="20"/>
              </w:rPr>
            </w:pPr>
            <w:r w:rsidRPr="00F954EB">
              <w:rPr>
                <w:rFonts w:asciiTheme="minorHAnsi" w:hAnsiTheme="minorHAnsi"/>
                <w:bCs w:val="0"/>
                <w:sz w:val="20"/>
                <w:szCs w:val="20"/>
              </w:rPr>
              <w:t>Site</w:t>
            </w:r>
          </w:p>
        </w:tc>
        <w:tc>
          <w:tcPr>
            <w:tcW w:w="1771" w:type="dxa"/>
          </w:tcPr>
          <w:p w14:paraId="63DA5605" w14:textId="09C592A6" w:rsidR="00EB0C38" w:rsidRPr="00F954EB" w:rsidRDefault="00EB0C38" w:rsidP="002B362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rPr>
            </w:pPr>
            <w:r w:rsidRPr="00F954EB">
              <w:rPr>
                <w:rFonts w:asciiTheme="minorHAnsi" w:hAnsiTheme="minorHAnsi"/>
                <w:bCs w:val="0"/>
                <w:sz w:val="20"/>
                <w:szCs w:val="20"/>
              </w:rPr>
              <w:t>0 Percentile</w:t>
            </w:r>
          </w:p>
        </w:tc>
        <w:tc>
          <w:tcPr>
            <w:tcW w:w="1771" w:type="dxa"/>
          </w:tcPr>
          <w:p w14:paraId="4A22DA47" w14:textId="7B97A798" w:rsidR="00EB0C38" w:rsidRPr="00F954EB" w:rsidRDefault="00EB0C38" w:rsidP="002B362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rPr>
            </w:pPr>
            <w:r w:rsidRPr="00F954EB">
              <w:rPr>
                <w:rFonts w:asciiTheme="minorHAnsi" w:hAnsiTheme="minorHAnsi"/>
                <w:bCs w:val="0"/>
                <w:sz w:val="20"/>
                <w:szCs w:val="20"/>
              </w:rPr>
              <w:t>50 percentile</w:t>
            </w:r>
          </w:p>
        </w:tc>
        <w:tc>
          <w:tcPr>
            <w:tcW w:w="1771" w:type="dxa"/>
          </w:tcPr>
          <w:p w14:paraId="361CB52D" w14:textId="04056264" w:rsidR="00EB0C38" w:rsidRPr="00F954EB" w:rsidRDefault="00EB0C38" w:rsidP="002B362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rPr>
            </w:pPr>
            <w:r w:rsidRPr="00F954EB">
              <w:rPr>
                <w:rFonts w:asciiTheme="minorHAnsi" w:hAnsiTheme="minorHAnsi"/>
                <w:bCs w:val="0"/>
                <w:sz w:val="20"/>
                <w:szCs w:val="20"/>
              </w:rPr>
              <w:t>90 percentile</w:t>
            </w:r>
          </w:p>
        </w:tc>
        <w:tc>
          <w:tcPr>
            <w:tcW w:w="1772" w:type="dxa"/>
          </w:tcPr>
          <w:p w14:paraId="065F61F5" w14:textId="1AAC16E1" w:rsidR="00EB0C38" w:rsidRPr="00F954EB" w:rsidRDefault="002B3628" w:rsidP="002B3628">
            <w:pPr>
              <w:pStyle w:val="Default"/>
              <w:ind w:left="-6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rPr>
            </w:pPr>
            <w:r w:rsidRPr="00F954EB">
              <w:rPr>
                <w:rFonts w:asciiTheme="minorHAnsi" w:hAnsiTheme="minorHAnsi"/>
                <w:bCs w:val="0"/>
                <w:sz w:val="20"/>
                <w:szCs w:val="20"/>
              </w:rPr>
              <w:t xml:space="preserve">100 </w:t>
            </w:r>
            <w:r w:rsidR="00EB0C38" w:rsidRPr="00F954EB">
              <w:rPr>
                <w:rFonts w:asciiTheme="minorHAnsi" w:hAnsiTheme="minorHAnsi"/>
                <w:bCs w:val="0"/>
                <w:sz w:val="20"/>
                <w:szCs w:val="20"/>
              </w:rPr>
              <w:t>percentile</w:t>
            </w:r>
          </w:p>
        </w:tc>
      </w:tr>
      <w:tr w:rsidR="00EB0C38" w:rsidRPr="00EE27C7" w14:paraId="62753637" w14:textId="77777777" w:rsidTr="002B36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14:paraId="1C8868C5" w14:textId="56F66E88" w:rsidR="00EB0C38" w:rsidRPr="00EE27C7" w:rsidRDefault="002B3628" w:rsidP="00F4371C">
            <w:pPr>
              <w:pStyle w:val="Default"/>
              <w:rPr>
                <w:rFonts w:asciiTheme="minorHAnsi" w:hAnsiTheme="minorHAnsi"/>
                <w:b w:val="0"/>
                <w:bCs w:val="0"/>
                <w:sz w:val="20"/>
                <w:szCs w:val="20"/>
              </w:rPr>
            </w:pPr>
            <w:r w:rsidRPr="00EE27C7">
              <w:rPr>
                <w:rFonts w:asciiTheme="minorHAnsi" w:hAnsiTheme="minorHAnsi"/>
                <w:b w:val="0"/>
                <w:bCs w:val="0"/>
                <w:sz w:val="20"/>
                <w:szCs w:val="20"/>
              </w:rPr>
              <w:t>C-54</w:t>
            </w:r>
          </w:p>
        </w:tc>
        <w:tc>
          <w:tcPr>
            <w:tcW w:w="1771" w:type="dxa"/>
          </w:tcPr>
          <w:p w14:paraId="38282143" w14:textId="06AC13BD"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145</w:t>
            </w:r>
          </w:p>
        </w:tc>
        <w:tc>
          <w:tcPr>
            <w:tcW w:w="1771" w:type="dxa"/>
          </w:tcPr>
          <w:p w14:paraId="7690DD0E" w14:textId="127DF229"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230</w:t>
            </w:r>
          </w:p>
        </w:tc>
        <w:tc>
          <w:tcPr>
            <w:tcW w:w="1771" w:type="dxa"/>
          </w:tcPr>
          <w:p w14:paraId="2E7D5A7F" w14:textId="04BFC0BA"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349</w:t>
            </w:r>
          </w:p>
        </w:tc>
        <w:tc>
          <w:tcPr>
            <w:tcW w:w="1772" w:type="dxa"/>
          </w:tcPr>
          <w:p w14:paraId="1A059015" w14:textId="4B514B07"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640</w:t>
            </w:r>
          </w:p>
        </w:tc>
      </w:tr>
      <w:tr w:rsidR="00EB0C38" w:rsidRPr="00EE27C7" w14:paraId="7CE056E9" w14:textId="77777777" w:rsidTr="002B36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14:paraId="45ADCBD9" w14:textId="41AF8012" w:rsidR="00EB0C38" w:rsidRPr="00EE27C7" w:rsidRDefault="002B3628" w:rsidP="00F4371C">
            <w:pPr>
              <w:pStyle w:val="Default"/>
              <w:rPr>
                <w:rFonts w:asciiTheme="minorHAnsi" w:hAnsiTheme="minorHAnsi"/>
                <w:b w:val="0"/>
                <w:bCs w:val="0"/>
                <w:sz w:val="20"/>
                <w:szCs w:val="20"/>
              </w:rPr>
            </w:pPr>
            <w:r w:rsidRPr="00EE27C7">
              <w:rPr>
                <w:rFonts w:asciiTheme="minorHAnsi" w:hAnsiTheme="minorHAnsi"/>
                <w:b w:val="0"/>
                <w:bCs w:val="0"/>
                <w:sz w:val="20"/>
                <w:szCs w:val="20"/>
              </w:rPr>
              <w:t>Berkeley</w:t>
            </w:r>
          </w:p>
        </w:tc>
        <w:tc>
          <w:tcPr>
            <w:tcW w:w="1771" w:type="dxa"/>
          </w:tcPr>
          <w:p w14:paraId="377224F1" w14:textId="08B832DF" w:rsidR="00EB0C3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294</w:t>
            </w:r>
          </w:p>
        </w:tc>
        <w:tc>
          <w:tcPr>
            <w:tcW w:w="1771" w:type="dxa"/>
          </w:tcPr>
          <w:p w14:paraId="30FFF49D" w14:textId="1D845AFF" w:rsidR="00EB0C3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464</w:t>
            </w:r>
          </w:p>
        </w:tc>
        <w:tc>
          <w:tcPr>
            <w:tcW w:w="1771" w:type="dxa"/>
          </w:tcPr>
          <w:p w14:paraId="6657F450" w14:textId="32AF6A9F" w:rsidR="00EB0C3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706</w:t>
            </w:r>
          </w:p>
        </w:tc>
        <w:tc>
          <w:tcPr>
            <w:tcW w:w="1772" w:type="dxa"/>
          </w:tcPr>
          <w:p w14:paraId="574493A0" w14:textId="0E9A129B" w:rsidR="00EB0C3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1419</w:t>
            </w:r>
          </w:p>
        </w:tc>
      </w:tr>
      <w:tr w:rsidR="00EB0C38" w:rsidRPr="00EE27C7" w14:paraId="3C60FF00" w14:textId="77777777" w:rsidTr="002B36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14:paraId="4573172A" w14:textId="4277BD75" w:rsidR="00EB0C38" w:rsidRPr="00EE27C7" w:rsidRDefault="002B3628" w:rsidP="00EE27C7">
            <w:pPr>
              <w:pStyle w:val="Default"/>
              <w:ind w:right="-65"/>
              <w:rPr>
                <w:rFonts w:asciiTheme="minorHAnsi" w:hAnsiTheme="minorHAnsi"/>
                <w:b w:val="0"/>
                <w:bCs w:val="0"/>
                <w:sz w:val="20"/>
                <w:szCs w:val="20"/>
              </w:rPr>
            </w:pPr>
            <w:r w:rsidRPr="00EE27C7">
              <w:rPr>
                <w:rFonts w:asciiTheme="minorHAnsi" w:hAnsiTheme="minorHAnsi"/>
                <w:b w:val="0"/>
                <w:bCs w:val="0"/>
                <w:sz w:val="20"/>
                <w:szCs w:val="20"/>
              </w:rPr>
              <w:t>Harbor Branch</w:t>
            </w:r>
          </w:p>
        </w:tc>
        <w:tc>
          <w:tcPr>
            <w:tcW w:w="1771" w:type="dxa"/>
          </w:tcPr>
          <w:p w14:paraId="6B4C7D19" w14:textId="79A3B523"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189</w:t>
            </w:r>
          </w:p>
        </w:tc>
        <w:tc>
          <w:tcPr>
            <w:tcW w:w="1771" w:type="dxa"/>
          </w:tcPr>
          <w:p w14:paraId="706815ED" w14:textId="1868EB04"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298</w:t>
            </w:r>
          </w:p>
        </w:tc>
        <w:tc>
          <w:tcPr>
            <w:tcW w:w="1771" w:type="dxa"/>
          </w:tcPr>
          <w:p w14:paraId="641E0A06" w14:textId="0C0CB021"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451</w:t>
            </w:r>
          </w:p>
        </w:tc>
        <w:tc>
          <w:tcPr>
            <w:tcW w:w="1772" w:type="dxa"/>
          </w:tcPr>
          <w:p w14:paraId="6F737BCB" w14:textId="5DCD93E4" w:rsidR="00EB0C38" w:rsidRPr="00EE27C7" w:rsidRDefault="002B3628" w:rsidP="002B3628">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EE27C7">
              <w:rPr>
                <w:rFonts w:asciiTheme="minorHAnsi" w:hAnsiTheme="minorHAnsi"/>
                <w:bCs/>
                <w:sz w:val="20"/>
                <w:szCs w:val="20"/>
              </w:rPr>
              <w:t>844</w:t>
            </w:r>
          </w:p>
        </w:tc>
      </w:tr>
      <w:tr w:rsidR="002B3628" w:rsidRPr="00EE27C7" w14:paraId="478381D3" w14:textId="77777777" w:rsidTr="002B36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dxa"/>
          </w:tcPr>
          <w:p w14:paraId="3078BC67" w14:textId="1B185006" w:rsidR="002B3628" w:rsidRPr="00EE27C7" w:rsidRDefault="002B3628" w:rsidP="002B3628">
            <w:pPr>
              <w:pStyle w:val="Default"/>
              <w:ind w:left="-90" w:right="-65"/>
              <w:rPr>
                <w:rFonts w:asciiTheme="minorHAnsi" w:hAnsiTheme="minorHAnsi"/>
                <w:bCs w:val="0"/>
                <w:i/>
                <w:sz w:val="20"/>
                <w:szCs w:val="20"/>
              </w:rPr>
            </w:pPr>
            <w:r w:rsidRPr="00EE27C7">
              <w:rPr>
                <w:rFonts w:asciiTheme="minorHAnsi" w:hAnsiTheme="minorHAnsi"/>
                <w:bCs w:val="0"/>
                <w:i/>
                <w:sz w:val="20"/>
                <w:szCs w:val="20"/>
              </w:rPr>
              <w:t>TOTALS</w:t>
            </w:r>
          </w:p>
        </w:tc>
        <w:tc>
          <w:tcPr>
            <w:tcW w:w="1771" w:type="dxa"/>
          </w:tcPr>
          <w:p w14:paraId="22E08201" w14:textId="0EC2BDE4" w:rsidR="002B362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20"/>
                <w:szCs w:val="20"/>
              </w:rPr>
            </w:pPr>
            <w:r w:rsidRPr="00EE27C7">
              <w:rPr>
                <w:rFonts w:asciiTheme="minorHAnsi" w:hAnsiTheme="minorHAnsi"/>
                <w:b/>
                <w:bCs/>
                <w:i/>
                <w:sz w:val="20"/>
                <w:szCs w:val="20"/>
              </w:rPr>
              <w:t>628</w:t>
            </w:r>
          </w:p>
        </w:tc>
        <w:tc>
          <w:tcPr>
            <w:tcW w:w="1771" w:type="dxa"/>
          </w:tcPr>
          <w:p w14:paraId="19E817E3" w14:textId="5FFB80C9" w:rsidR="002B362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20"/>
                <w:szCs w:val="20"/>
              </w:rPr>
            </w:pPr>
            <w:r w:rsidRPr="00EE27C7">
              <w:rPr>
                <w:rFonts w:asciiTheme="minorHAnsi" w:hAnsiTheme="minorHAnsi"/>
                <w:b/>
                <w:bCs/>
                <w:i/>
                <w:sz w:val="20"/>
                <w:szCs w:val="20"/>
              </w:rPr>
              <w:t>992</w:t>
            </w:r>
          </w:p>
        </w:tc>
        <w:tc>
          <w:tcPr>
            <w:tcW w:w="1771" w:type="dxa"/>
          </w:tcPr>
          <w:p w14:paraId="77E929CA" w14:textId="4E887842" w:rsidR="002B362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20"/>
                <w:szCs w:val="20"/>
              </w:rPr>
            </w:pPr>
            <w:r w:rsidRPr="00EE27C7">
              <w:rPr>
                <w:rFonts w:asciiTheme="minorHAnsi" w:hAnsiTheme="minorHAnsi"/>
                <w:b/>
                <w:bCs/>
                <w:i/>
                <w:sz w:val="20"/>
                <w:szCs w:val="20"/>
              </w:rPr>
              <w:t>1506</w:t>
            </w:r>
          </w:p>
        </w:tc>
        <w:tc>
          <w:tcPr>
            <w:tcW w:w="1772" w:type="dxa"/>
          </w:tcPr>
          <w:p w14:paraId="46F531C7" w14:textId="647A62A0" w:rsidR="002B3628" w:rsidRPr="00EE27C7" w:rsidRDefault="002B3628" w:rsidP="002B3628">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i/>
                <w:sz w:val="20"/>
                <w:szCs w:val="20"/>
              </w:rPr>
            </w:pPr>
            <w:r w:rsidRPr="00EE27C7">
              <w:rPr>
                <w:rFonts w:asciiTheme="minorHAnsi" w:hAnsiTheme="minorHAnsi"/>
                <w:b/>
                <w:bCs/>
                <w:i/>
                <w:sz w:val="20"/>
                <w:szCs w:val="20"/>
              </w:rPr>
              <w:t>2903</w:t>
            </w:r>
          </w:p>
        </w:tc>
      </w:tr>
    </w:tbl>
    <w:p w14:paraId="156E916C" w14:textId="77777777" w:rsidR="00006A50" w:rsidRDefault="00006A50" w:rsidP="00F4371C">
      <w:pPr>
        <w:pStyle w:val="Default"/>
        <w:rPr>
          <w:rFonts w:asciiTheme="minorHAnsi" w:hAnsiTheme="minorHAnsi"/>
          <w:bCs/>
        </w:rPr>
      </w:pPr>
    </w:p>
    <w:p w14:paraId="5FBB7B28" w14:textId="0745F6BA" w:rsidR="00EA5362" w:rsidRPr="00F954EB" w:rsidRDefault="006D4EAE" w:rsidP="00F4371C">
      <w:pPr>
        <w:pStyle w:val="Default"/>
        <w:rPr>
          <w:rFonts w:asciiTheme="minorHAnsi" w:hAnsiTheme="minorHAnsi"/>
          <w:bCs/>
        </w:rPr>
      </w:pPr>
      <w:r w:rsidRPr="00F954EB">
        <w:rPr>
          <w:rFonts w:asciiTheme="minorHAnsi" w:hAnsiTheme="minorHAnsi"/>
          <w:bCs/>
        </w:rPr>
        <w:t>E</w:t>
      </w:r>
      <w:r w:rsidR="001529C3">
        <w:rPr>
          <w:rFonts w:asciiTheme="minorHAnsi" w:hAnsiTheme="minorHAnsi"/>
          <w:bCs/>
        </w:rPr>
        <w:t>ven by including</w:t>
      </w:r>
      <w:r w:rsidR="00EA5362" w:rsidRPr="00F954EB">
        <w:rPr>
          <w:rFonts w:asciiTheme="minorHAnsi" w:hAnsiTheme="minorHAnsi"/>
          <w:bCs/>
        </w:rPr>
        <w:t xml:space="preserve"> all of these optimistic assumptions</w:t>
      </w:r>
      <w:r w:rsidR="001529C3">
        <w:rPr>
          <w:rFonts w:asciiTheme="minorHAnsi" w:hAnsiTheme="minorHAnsi"/>
          <w:bCs/>
        </w:rPr>
        <w:t xml:space="preserve"> in the calculations of the model</w:t>
      </w:r>
      <w:r w:rsidR="00EA5362" w:rsidRPr="00F954EB">
        <w:rPr>
          <w:rFonts w:asciiTheme="minorHAnsi" w:hAnsiTheme="minorHAnsi"/>
          <w:bCs/>
        </w:rPr>
        <w:t xml:space="preserve">, then somewhere between 1,500 and 3,000 animals living in this extended area </w:t>
      </w:r>
      <w:r w:rsidR="001529C3">
        <w:rPr>
          <w:rFonts w:asciiTheme="minorHAnsi" w:hAnsiTheme="minorHAnsi"/>
          <w:bCs/>
        </w:rPr>
        <w:t xml:space="preserve">would push the limits of the local area CC to the point that we would expect to see </w:t>
      </w:r>
      <w:r w:rsidR="00EA5362" w:rsidRPr="00F954EB">
        <w:rPr>
          <w:rFonts w:asciiTheme="minorHAnsi" w:hAnsiTheme="minorHAnsi"/>
          <w:bCs/>
        </w:rPr>
        <w:t>negative impact on the</w:t>
      </w:r>
      <w:r w:rsidR="001529C3">
        <w:rPr>
          <w:rFonts w:asciiTheme="minorHAnsi" w:hAnsiTheme="minorHAnsi"/>
          <w:bCs/>
        </w:rPr>
        <w:t xml:space="preserve"> amount SAV in these areas of the</w:t>
      </w:r>
      <w:r w:rsidR="00EA5362" w:rsidRPr="00F954EB">
        <w:rPr>
          <w:rFonts w:asciiTheme="minorHAnsi" w:hAnsiTheme="minorHAnsi"/>
          <w:bCs/>
        </w:rPr>
        <w:t xml:space="preserve"> IRL.  The IHA Study </w:t>
      </w:r>
      <w:r w:rsidR="001529C3">
        <w:rPr>
          <w:rFonts w:asciiTheme="minorHAnsi" w:hAnsiTheme="minorHAnsi"/>
          <w:bCs/>
        </w:rPr>
        <w:t>establishes</w:t>
      </w:r>
      <w:r w:rsidR="00EA5362" w:rsidRPr="00F954EB">
        <w:rPr>
          <w:rFonts w:asciiTheme="minorHAnsi" w:hAnsiTheme="minorHAnsi"/>
          <w:bCs/>
        </w:rPr>
        <w:t xml:space="preserve"> that the </w:t>
      </w:r>
      <w:r w:rsidR="001529C3">
        <w:rPr>
          <w:rFonts w:asciiTheme="minorHAnsi" w:hAnsiTheme="minorHAnsi"/>
          <w:bCs/>
        </w:rPr>
        <w:t>CC</w:t>
      </w:r>
      <w:r w:rsidR="00EA5362" w:rsidRPr="00F954EB">
        <w:rPr>
          <w:rFonts w:asciiTheme="minorHAnsi" w:hAnsiTheme="minorHAnsi"/>
          <w:bCs/>
        </w:rPr>
        <w:t xml:space="preserve"> for this area is forage limited </w:t>
      </w:r>
      <w:r w:rsidR="00A61FE6" w:rsidRPr="00F954EB">
        <w:rPr>
          <w:rFonts w:asciiTheme="minorHAnsi" w:hAnsiTheme="minorHAnsi"/>
          <w:bCs/>
        </w:rPr>
        <w:t xml:space="preserve">(not warm water) </w:t>
      </w:r>
      <w:r w:rsidR="00EA5362" w:rsidRPr="00F954EB">
        <w:rPr>
          <w:rFonts w:asciiTheme="minorHAnsi" w:hAnsiTheme="minorHAnsi"/>
          <w:bCs/>
        </w:rPr>
        <w:t xml:space="preserve">and </w:t>
      </w:r>
      <w:r w:rsidR="001529C3">
        <w:rPr>
          <w:rFonts w:asciiTheme="minorHAnsi" w:hAnsiTheme="minorHAnsi"/>
          <w:bCs/>
        </w:rPr>
        <w:t xml:space="preserve">implies that the OSP </w:t>
      </w:r>
      <w:r w:rsidR="00EA5362" w:rsidRPr="00F954EB">
        <w:rPr>
          <w:rFonts w:asciiTheme="minorHAnsi" w:hAnsiTheme="minorHAnsi"/>
          <w:bCs/>
        </w:rPr>
        <w:t xml:space="preserve">is around 992 animals.  </w:t>
      </w:r>
    </w:p>
    <w:p w14:paraId="19395454" w14:textId="77777777" w:rsidR="00EA5362" w:rsidRPr="00F954EB" w:rsidRDefault="00EA5362" w:rsidP="00F4371C">
      <w:pPr>
        <w:pStyle w:val="Default"/>
        <w:rPr>
          <w:rFonts w:asciiTheme="minorHAnsi" w:hAnsiTheme="minorHAnsi"/>
          <w:bCs/>
        </w:rPr>
      </w:pPr>
    </w:p>
    <w:p w14:paraId="43484F8E" w14:textId="611FF413" w:rsidR="001552CD" w:rsidRDefault="001552CD" w:rsidP="00F4371C">
      <w:pPr>
        <w:pStyle w:val="Default"/>
        <w:rPr>
          <w:rFonts w:asciiTheme="minorHAnsi" w:hAnsiTheme="minorHAnsi"/>
          <w:bCs/>
        </w:rPr>
      </w:pPr>
      <w:r w:rsidRPr="00F954EB">
        <w:rPr>
          <w:rFonts w:asciiTheme="minorHAnsi" w:hAnsiTheme="minorHAnsi"/>
          <w:bCs/>
        </w:rPr>
        <w:t xml:space="preserve">What the study does not say is that the population will not exceed 992 animals.  In </w:t>
      </w:r>
      <w:r w:rsidRPr="00F954EB">
        <w:rPr>
          <w:rFonts w:asciiTheme="minorHAnsi" w:hAnsiTheme="minorHAnsi"/>
          <w:bCs/>
        </w:rPr>
        <w:lastRenderedPageBreak/>
        <w:t xml:space="preserve">fact there is no controlling factor to insure that the local population will not exceed </w:t>
      </w:r>
      <w:r>
        <w:rPr>
          <w:rFonts w:asciiTheme="minorHAnsi" w:hAnsiTheme="minorHAnsi"/>
          <w:bCs/>
        </w:rPr>
        <w:t>992</w:t>
      </w:r>
      <w:r w:rsidRPr="00F954EB">
        <w:rPr>
          <w:rFonts w:asciiTheme="minorHAnsi" w:hAnsiTheme="minorHAnsi"/>
          <w:bCs/>
        </w:rPr>
        <w:t xml:space="preserve">.  Statistically, there is available forage beyond the needs of 992.  But, since the IRL is an ecosystem whose life-blood is SAV, can we allow one species to reach a population that threatens to deplete the SAV </w:t>
      </w:r>
      <w:r>
        <w:rPr>
          <w:rFonts w:asciiTheme="minorHAnsi" w:hAnsiTheme="minorHAnsi"/>
          <w:bCs/>
        </w:rPr>
        <w:t xml:space="preserve">beyond its ability to sustain an equilibrium state where SAV is not constantly depleting?  This event </w:t>
      </w:r>
      <w:r w:rsidRPr="00F954EB">
        <w:rPr>
          <w:rFonts w:asciiTheme="minorHAnsi" w:hAnsiTheme="minorHAnsi"/>
          <w:bCs/>
        </w:rPr>
        <w:t>risk</w:t>
      </w:r>
      <w:r>
        <w:rPr>
          <w:rFonts w:asciiTheme="minorHAnsi" w:hAnsiTheme="minorHAnsi"/>
          <w:bCs/>
        </w:rPr>
        <w:t>s</w:t>
      </w:r>
      <w:r w:rsidRPr="00F954EB">
        <w:rPr>
          <w:rFonts w:asciiTheme="minorHAnsi" w:hAnsiTheme="minorHAnsi"/>
          <w:bCs/>
        </w:rPr>
        <w:t xml:space="preserve"> the loss of the IRL </w:t>
      </w:r>
      <w:r>
        <w:rPr>
          <w:rFonts w:asciiTheme="minorHAnsi" w:hAnsiTheme="minorHAnsi"/>
          <w:bCs/>
        </w:rPr>
        <w:t xml:space="preserve">ecosystem </w:t>
      </w:r>
      <w:r w:rsidRPr="00F954EB">
        <w:rPr>
          <w:rFonts w:asciiTheme="minorHAnsi" w:hAnsiTheme="minorHAnsi"/>
          <w:bCs/>
        </w:rPr>
        <w:t xml:space="preserve">itself?  One must consider the sustainability of the SAV, the basic element of the ecosystem habitat in any discussion with respect to </w:t>
      </w:r>
      <w:r>
        <w:rPr>
          <w:rFonts w:asciiTheme="minorHAnsi" w:hAnsiTheme="minorHAnsi"/>
          <w:bCs/>
        </w:rPr>
        <w:t>OSP</w:t>
      </w:r>
      <w:r w:rsidRPr="00F954EB">
        <w:rPr>
          <w:rFonts w:asciiTheme="minorHAnsi" w:hAnsiTheme="minorHAnsi"/>
          <w:bCs/>
        </w:rPr>
        <w:t>.</w:t>
      </w:r>
    </w:p>
    <w:p w14:paraId="31060E4D" w14:textId="77777777" w:rsidR="001552CD" w:rsidRDefault="001552CD" w:rsidP="00F4371C">
      <w:pPr>
        <w:pStyle w:val="Default"/>
        <w:rPr>
          <w:rFonts w:asciiTheme="minorHAnsi" w:hAnsiTheme="minorHAnsi"/>
          <w:bCs/>
        </w:rPr>
      </w:pPr>
    </w:p>
    <w:p w14:paraId="4876DD7C" w14:textId="0EF28B52" w:rsidR="00EA5362" w:rsidRPr="00F954EB" w:rsidRDefault="001529C3" w:rsidP="00F4371C">
      <w:pPr>
        <w:pStyle w:val="Default"/>
        <w:rPr>
          <w:rFonts w:asciiTheme="minorHAnsi" w:hAnsiTheme="minorHAnsi"/>
          <w:bCs/>
        </w:rPr>
      </w:pPr>
      <w:r>
        <w:rPr>
          <w:rFonts w:asciiTheme="minorHAnsi" w:hAnsiTheme="minorHAnsi"/>
          <w:bCs/>
        </w:rPr>
        <w:t>Clearly, the IHA study establishes an effective approach for evaluating and estimating both OSP and CC on a local are</w:t>
      </w:r>
      <w:r w:rsidR="001552CD">
        <w:rPr>
          <w:rFonts w:asciiTheme="minorHAnsi" w:hAnsiTheme="minorHAnsi"/>
          <w:bCs/>
        </w:rPr>
        <w:t>a</w:t>
      </w:r>
      <w:r>
        <w:rPr>
          <w:rFonts w:asciiTheme="minorHAnsi" w:hAnsiTheme="minorHAnsi"/>
          <w:bCs/>
        </w:rPr>
        <w:t xml:space="preserve"> basis.  </w:t>
      </w:r>
      <w:r w:rsidR="001552CD">
        <w:rPr>
          <w:rFonts w:asciiTheme="minorHAnsi" w:hAnsiTheme="minorHAnsi"/>
          <w:bCs/>
        </w:rPr>
        <w:t>By</w:t>
      </w:r>
      <w:r>
        <w:rPr>
          <w:rFonts w:asciiTheme="minorHAnsi" w:hAnsiTheme="minorHAnsi"/>
          <w:bCs/>
        </w:rPr>
        <w:t xml:space="preserve"> applying the methodology of the IHA study to a </w:t>
      </w:r>
      <w:r w:rsidR="001552CD">
        <w:rPr>
          <w:rFonts w:asciiTheme="minorHAnsi" w:hAnsiTheme="minorHAnsi"/>
          <w:bCs/>
        </w:rPr>
        <w:t>mutually exclusive collection</w:t>
      </w:r>
      <w:r>
        <w:rPr>
          <w:rFonts w:asciiTheme="minorHAnsi" w:hAnsiTheme="minorHAnsi"/>
          <w:bCs/>
        </w:rPr>
        <w:t xml:space="preserve"> of </w:t>
      </w:r>
      <w:r w:rsidR="001552CD">
        <w:rPr>
          <w:rFonts w:asciiTheme="minorHAnsi" w:hAnsiTheme="minorHAnsi"/>
          <w:bCs/>
        </w:rPr>
        <w:t xml:space="preserve">local </w:t>
      </w:r>
      <w:r>
        <w:rPr>
          <w:rFonts w:asciiTheme="minorHAnsi" w:hAnsiTheme="minorHAnsi"/>
          <w:bCs/>
        </w:rPr>
        <w:t xml:space="preserve">areas </w:t>
      </w:r>
      <w:r w:rsidR="001552CD">
        <w:rPr>
          <w:rFonts w:asciiTheme="minorHAnsi" w:hAnsiTheme="minorHAnsi"/>
          <w:bCs/>
        </w:rPr>
        <w:t>that span</w:t>
      </w:r>
      <w:r>
        <w:rPr>
          <w:rFonts w:asciiTheme="minorHAnsi" w:hAnsiTheme="minorHAnsi"/>
          <w:bCs/>
        </w:rPr>
        <w:t xml:space="preserve"> the manatee habitat</w:t>
      </w:r>
      <w:r w:rsidR="001552CD">
        <w:rPr>
          <w:rFonts w:asciiTheme="minorHAnsi" w:hAnsiTheme="minorHAnsi"/>
          <w:bCs/>
        </w:rPr>
        <w:t xml:space="preserve">, one can extend this approach to achieve reasonable calculations of overall OSP or TOTAL CC for the entire population within the habitat. </w:t>
      </w:r>
      <w:r>
        <w:rPr>
          <w:rFonts w:asciiTheme="minorHAnsi" w:hAnsiTheme="minorHAnsi"/>
          <w:bCs/>
        </w:rPr>
        <w:t xml:space="preserve"> </w:t>
      </w:r>
    </w:p>
    <w:p w14:paraId="25A616EA" w14:textId="77777777" w:rsidR="00B74FEA" w:rsidRPr="00F954EB" w:rsidRDefault="00B74FEA" w:rsidP="00F4371C">
      <w:pPr>
        <w:pStyle w:val="Default"/>
        <w:rPr>
          <w:rFonts w:asciiTheme="minorHAnsi" w:hAnsiTheme="minorHAnsi"/>
          <w:bCs/>
        </w:rPr>
      </w:pPr>
    </w:p>
    <w:p w14:paraId="19F0C35A" w14:textId="09490841" w:rsidR="004E4221" w:rsidRPr="00F954EB" w:rsidRDefault="001552CD" w:rsidP="00246E58">
      <w:pPr>
        <w:pStyle w:val="Default"/>
        <w:rPr>
          <w:rFonts w:asciiTheme="minorHAnsi" w:hAnsiTheme="minorHAnsi"/>
          <w:bCs/>
        </w:rPr>
      </w:pPr>
      <w:r>
        <w:rPr>
          <w:rFonts w:asciiTheme="minorHAnsi" w:hAnsiTheme="minorHAnsi"/>
          <w:bCs/>
        </w:rPr>
        <w:t>CFFW</w:t>
      </w:r>
      <w:r w:rsidR="003917EB" w:rsidRPr="00F954EB">
        <w:rPr>
          <w:rFonts w:asciiTheme="minorHAnsi" w:hAnsiTheme="minorHAnsi"/>
          <w:bCs/>
        </w:rPr>
        <w:t xml:space="preserve"> first posed t</w:t>
      </w:r>
      <w:r w:rsidR="004E4221" w:rsidRPr="00F954EB">
        <w:rPr>
          <w:rFonts w:asciiTheme="minorHAnsi" w:hAnsiTheme="minorHAnsi"/>
          <w:bCs/>
        </w:rPr>
        <w:t>he question of CC to the State</w:t>
      </w:r>
      <w:r w:rsidR="003917EB" w:rsidRPr="00F954EB">
        <w:rPr>
          <w:rFonts w:asciiTheme="minorHAnsi" w:hAnsiTheme="minorHAnsi"/>
          <w:bCs/>
        </w:rPr>
        <w:t xml:space="preserve"> </w:t>
      </w:r>
      <w:r w:rsidR="004E4221" w:rsidRPr="00F954EB">
        <w:rPr>
          <w:rFonts w:asciiTheme="minorHAnsi" w:hAnsiTheme="minorHAnsi"/>
          <w:bCs/>
        </w:rPr>
        <w:t>and</w:t>
      </w:r>
      <w:r w:rsidR="003917EB" w:rsidRPr="00F954EB">
        <w:rPr>
          <w:rFonts w:asciiTheme="minorHAnsi" w:hAnsiTheme="minorHAnsi"/>
          <w:bCs/>
        </w:rPr>
        <w:t xml:space="preserve"> Federal wildlife managers in the mid 80’s</w:t>
      </w:r>
      <w:r w:rsidR="004E4221" w:rsidRPr="00F954EB">
        <w:rPr>
          <w:rFonts w:asciiTheme="minorHAnsi" w:hAnsiTheme="minorHAnsi"/>
          <w:bCs/>
        </w:rPr>
        <w:t xml:space="preserve"> and has continued to ask this question over and over.  The latest attempt at getting this critical question addressed was in the </w:t>
      </w:r>
      <w:r w:rsidR="00352483" w:rsidRPr="00F954EB">
        <w:rPr>
          <w:rFonts w:asciiTheme="minorHAnsi" w:hAnsiTheme="minorHAnsi"/>
          <w:bCs/>
        </w:rPr>
        <w:t>framework</w:t>
      </w:r>
      <w:r w:rsidR="004E4221" w:rsidRPr="00F954EB">
        <w:rPr>
          <w:rFonts w:asciiTheme="minorHAnsi" w:hAnsiTheme="minorHAnsi"/>
          <w:bCs/>
        </w:rPr>
        <w:t xml:space="preserve"> of four questions </w:t>
      </w:r>
      <w:r>
        <w:rPr>
          <w:rFonts w:asciiTheme="minorHAnsi" w:hAnsiTheme="minorHAnsi"/>
          <w:bCs/>
        </w:rPr>
        <w:t xml:space="preserve">submitted </w:t>
      </w:r>
      <w:r w:rsidR="004E4221" w:rsidRPr="00F954EB">
        <w:rPr>
          <w:rFonts w:asciiTheme="minorHAnsi" w:hAnsiTheme="minorHAnsi"/>
          <w:bCs/>
        </w:rPr>
        <w:t>to the agencies in late 2013.  These questions were and are relevant to the ongoing crisis in the IRL which is most observed by the significant and continued loss of SAV acreage and the continued increase in nutrient content in the IRL.</w:t>
      </w:r>
    </w:p>
    <w:p w14:paraId="445D6E98" w14:textId="74D4F22C" w:rsidR="004E4221" w:rsidRPr="00F954EB" w:rsidRDefault="001552CD" w:rsidP="004E4221">
      <w:pPr>
        <w:pStyle w:val="Default"/>
        <w:ind w:left="720"/>
        <w:rPr>
          <w:rFonts w:asciiTheme="minorHAnsi" w:hAnsiTheme="minorHAnsi"/>
          <w:bCs/>
        </w:rPr>
      </w:pPr>
      <w:r>
        <w:rPr>
          <w:rFonts w:asciiTheme="minorHAnsi" w:hAnsiTheme="minorHAnsi"/>
          <w:bCs/>
        </w:rPr>
        <w:t xml:space="preserve">1) </w:t>
      </w:r>
      <w:r w:rsidR="004E4221" w:rsidRPr="00F954EB">
        <w:rPr>
          <w:rFonts w:asciiTheme="minorHAnsi" w:hAnsiTheme="minorHAnsi"/>
          <w:bCs/>
        </w:rPr>
        <w:t>What is the average annual production (by weight) of an acre of seagrass producing estuary bottom?</w:t>
      </w:r>
    </w:p>
    <w:p w14:paraId="4F689EC6" w14:textId="55908BF2" w:rsidR="004E4221" w:rsidRPr="00F954EB" w:rsidRDefault="001552CD" w:rsidP="004E4221">
      <w:pPr>
        <w:pStyle w:val="Default"/>
        <w:ind w:left="720"/>
        <w:rPr>
          <w:rFonts w:asciiTheme="minorHAnsi" w:hAnsiTheme="minorHAnsi"/>
          <w:bCs/>
        </w:rPr>
      </w:pPr>
      <w:r>
        <w:rPr>
          <w:rFonts w:asciiTheme="minorHAnsi" w:hAnsiTheme="minorHAnsi"/>
          <w:bCs/>
        </w:rPr>
        <w:t xml:space="preserve">2) </w:t>
      </w:r>
      <w:r w:rsidR="004E4221" w:rsidRPr="00F954EB">
        <w:rPr>
          <w:rFonts w:asciiTheme="minorHAnsi" w:hAnsiTheme="minorHAnsi"/>
          <w:bCs/>
        </w:rPr>
        <w:t>What is a good value for average consumption of seagrass (by weight) for the average manatee in a given population?</w:t>
      </w:r>
    </w:p>
    <w:p w14:paraId="7B9FFECC" w14:textId="612C011E" w:rsidR="004E4221" w:rsidRPr="00F954EB" w:rsidRDefault="001552CD" w:rsidP="004E4221">
      <w:pPr>
        <w:pStyle w:val="Default"/>
        <w:ind w:firstLine="720"/>
        <w:rPr>
          <w:rFonts w:asciiTheme="minorHAnsi" w:hAnsiTheme="minorHAnsi"/>
          <w:bCs/>
        </w:rPr>
      </w:pPr>
      <w:r>
        <w:rPr>
          <w:rFonts w:asciiTheme="minorHAnsi" w:hAnsiTheme="minorHAnsi"/>
          <w:bCs/>
        </w:rPr>
        <w:t xml:space="preserve">3) </w:t>
      </w:r>
      <w:r w:rsidR="004E4221" w:rsidRPr="00F954EB">
        <w:rPr>
          <w:rFonts w:asciiTheme="minorHAnsi" w:hAnsiTheme="minorHAnsi"/>
          <w:bCs/>
        </w:rPr>
        <w:t>What percentage of seagrass intake results in excrement?</w:t>
      </w:r>
    </w:p>
    <w:p w14:paraId="43FED564" w14:textId="0F5C10F5" w:rsidR="004E4221" w:rsidRPr="00F954EB" w:rsidRDefault="001552CD" w:rsidP="004E4221">
      <w:pPr>
        <w:pStyle w:val="Default"/>
        <w:ind w:firstLine="720"/>
        <w:rPr>
          <w:rFonts w:asciiTheme="minorHAnsi" w:hAnsiTheme="minorHAnsi"/>
          <w:bCs/>
        </w:rPr>
      </w:pPr>
      <w:r>
        <w:rPr>
          <w:rFonts w:asciiTheme="minorHAnsi" w:hAnsiTheme="minorHAnsi"/>
          <w:bCs/>
        </w:rPr>
        <w:t xml:space="preserve">4) </w:t>
      </w:r>
      <w:r w:rsidR="004E4221" w:rsidRPr="00F954EB">
        <w:rPr>
          <w:rFonts w:asciiTheme="minorHAnsi" w:hAnsiTheme="minorHAnsi"/>
          <w:bCs/>
        </w:rPr>
        <w:t>What is a reasonable chemical decomposition of manatee excrement?</w:t>
      </w:r>
    </w:p>
    <w:p w14:paraId="72F8E62B" w14:textId="77777777" w:rsidR="004E4221" w:rsidRPr="00F954EB" w:rsidRDefault="004E4221" w:rsidP="00246E58">
      <w:pPr>
        <w:pStyle w:val="Default"/>
        <w:rPr>
          <w:rFonts w:asciiTheme="minorHAnsi" w:hAnsiTheme="minorHAnsi"/>
          <w:bCs/>
        </w:rPr>
      </w:pPr>
    </w:p>
    <w:p w14:paraId="7F2BDEF7" w14:textId="49D7EE45" w:rsidR="004E4221" w:rsidRPr="00F954EB" w:rsidRDefault="004E4221" w:rsidP="00246E58">
      <w:pPr>
        <w:pStyle w:val="Default"/>
        <w:rPr>
          <w:rFonts w:asciiTheme="minorHAnsi" w:hAnsiTheme="minorHAnsi"/>
          <w:bCs/>
        </w:rPr>
      </w:pPr>
      <w:r w:rsidRPr="00F954EB">
        <w:rPr>
          <w:rFonts w:asciiTheme="minorHAnsi" w:hAnsiTheme="minorHAnsi"/>
          <w:bCs/>
        </w:rPr>
        <w:t>The Florida FWC provided some valu</w:t>
      </w:r>
      <w:r w:rsidR="00352483" w:rsidRPr="00F954EB">
        <w:rPr>
          <w:rFonts w:asciiTheme="minorHAnsi" w:hAnsiTheme="minorHAnsi"/>
          <w:bCs/>
        </w:rPr>
        <w:t>able data in response to 1-3.  We continue</w:t>
      </w:r>
      <w:r w:rsidRPr="00F954EB">
        <w:rPr>
          <w:rFonts w:asciiTheme="minorHAnsi" w:hAnsiTheme="minorHAnsi"/>
          <w:bCs/>
        </w:rPr>
        <w:t xml:space="preserve"> to wait for any data relative to question 4.   </w:t>
      </w:r>
      <w:r w:rsidR="002B0BE1">
        <w:rPr>
          <w:rFonts w:asciiTheme="minorHAnsi" w:hAnsiTheme="minorHAnsi"/>
          <w:bCs/>
        </w:rPr>
        <w:t>CFFW</w:t>
      </w:r>
      <w:r w:rsidRPr="00F954EB">
        <w:rPr>
          <w:rFonts w:asciiTheme="minorHAnsi" w:hAnsiTheme="minorHAnsi"/>
          <w:bCs/>
        </w:rPr>
        <w:t xml:space="preserve"> initiated </w:t>
      </w:r>
      <w:r w:rsidR="002B0BE1">
        <w:rPr>
          <w:rFonts w:asciiTheme="minorHAnsi" w:hAnsiTheme="minorHAnsi"/>
          <w:bCs/>
        </w:rPr>
        <w:t>an</w:t>
      </w:r>
      <w:r w:rsidRPr="00F954EB">
        <w:rPr>
          <w:rFonts w:asciiTheme="minorHAnsi" w:hAnsiTheme="minorHAnsi"/>
          <w:bCs/>
        </w:rPr>
        <w:t xml:space="preserve"> assessment of the response to questions 1</w:t>
      </w:r>
      <w:r w:rsidR="002B0BE1">
        <w:rPr>
          <w:rFonts w:asciiTheme="minorHAnsi" w:hAnsiTheme="minorHAnsi"/>
          <w:bCs/>
        </w:rPr>
        <w:t>)</w:t>
      </w:r>
      <w:r w:rsidRPr="00F954EB">
        <w:rPr>
          <w:rFonts w:asciiTheme="minorHAnsi" w:hAnsiTheme="minorHAnsi"/>
          <w:bCs/>
        </w:rPr>
        <w:t xml:space="preserve"> and 2</w:t>
      </w:r>
      <w:r w:rsidR="002B0BE1">
        <w:rPr>
          <w:rFonts w:asciiTheme="minorHAnsi" w:hAnsiTheme="minorHAnsi"/>
          <w:bCs/>
        </w:rPr>
        <w:t>)</w:t>
      </w:r>
      <w:r w:rsidRPr="00F954EB">
        <w:rPr>
          <w:rFonts w:asciiTheme="minorHAnsi" w:hAnsiTheme="minorHAnsi"/>
          <w:bCs/>
        </w:rPr>
        <w:t xml:space="preserve"> </w:t>
      </w:r>
      <w:r w:rsidR="002B0BE1">
        <w:rPr>
          <w:rFonts w:asciiTheme="minorHAnsi" w:hAnsiTheme="minorHAnsi"/>
          <w:bCs/>
        </w:rPr>
        <w:t xml:space="preserve">in combination with the analysis of SAV coverage in the IRL determined by the </w:t>
      </w:r>
      <w:r w:rsidR="002B0BE1" w:rsidRPr="00F954EB">
        <w:rPr>
          <w:rFonts w:asciiTheme="minorHAnsi" w:hAnsiTheme="minorHAnsi"/>
          <w:bCs/>
        </w:rPr>
        <w:t>St John’s River Water Management District (SJRWMD)</w:t>
      </w:r>
      <w:r w:rsidR="002B0BE1">
        <w:rPr>
          <w:rFonts w:asciiTheme="minorHAnsi" w:hAnsiTheme="minorHAnsi"/>
          <w:bCs/>
        </w:rPr>
        <w:t xml:space="preserve"> to perform</w:t>
      </w:r>
      <w:r w:rsidRPr="00F954EB">
        <w:rPr>
          <w:rFonts w:asciiTheme="minorHAnsi" w:hAnsiTheme="minorHAnsi"/>
          <w:bCs/>
        </w:rPr>
        <w:t xml:space="preserve"> an </w:t>
      </w:r>
      <w:r w:rsidR="002B0BE1">
        <w:rPr>
          <w:rFonts w:asciiTheme="minorHAnsi" w:hAnsiTheme="minorHAnsi"/>
          <w:bCs/>
        </w:rPr>
        <w:t xml:space="preserve">independent </w:t>
      </w:r>
      <w:r w:rsidRPr="00F954EB">
        <w:rPr>
          <w:rFonts w:asciiTheme="minorHAnsi" w:hAnsiTheme="minorHAnsi"/>
          <w:bCs/>
        </w:rPr>
        <w:t xml:space="preserve">analysis of the Carrying Capacity of the IRL. </w:t>
      </w:r>
    </w:p>
    <w:p w14:paraId="487B1842" w14:textId="77777777" w:rsidR="004E4221" w:rsidRPr="00F954EB" w:rsidRDefault="004E4221" w:rsidP="00246E58">
      <w:pPr>
        <w:pStyle w:val="Default"/>
        <w:rPr>
          <w:rFonts w:asciiTheme="minorHAnsi" w:hAnsiTheme="minorHAnsi"/>
          <w:bCs/>
        </w:rPr>
      </w:pPr>
    </w:p>
    <w:p w14:paraId="35ACB997" w14:textId="77777777" w:rsidR="002B0BE1" w:rsidRPr="00F954EB" w:rsidRDefault="002B0BE1" w:rsidP="002B0BE1">
      <w:pPr>
        <w:pStyle w:val="Default"/>
        <w:rPr>
          <w:rFonts w:asciiTheme="minorHAnsi" w:hAnsiTheme="minorHAnsi"/>
          <w:bCs/>
        </w:rPr>
      </w:pPr>
      <w:r w:rsidRPr="00F954EB">
        <w:rPr>
          <w:rFonts w:asciiTheme="minorHAnsi" w:hAnsiTheme="minorHAnsi"/>
          <w:bCs/>
        </w:rPr>
        <w:t xml:space="preserve">So what is the CC for the IRL?  </w:t>
      </w:r>
      <w:r>
        <w:rPr>
          <w:rFonts w:asciiTheme="minorHAnsi" w:hAnsiTheme="minorHAnsi"/>
          <w:bCs/>
        </w:rPr>
        <w:t>Based analysis and results of the IHA study, CFFW</w:t>
      </w:r>
      <w:r w:rsidRPr="00F954EB">
        <w:rPr>
          <w:rFonts w:asciiTheme="minorHAnsi" w:hAnsiTheme="minorHAnsi"/>
          <w:bCs/>
        </w:rPr>
        <w:t xml:space="preserve"> would define CC in terms of the upper bound of the population</w:t>
      </w:r>
      <w:r>
        <w:rPr>
          <w:rFonts w:asciiTheme="minorHAnsi" w:hAnsiTheme="minorHAnsi"/>
          <w:bCs/>
        </w:rPr>
        <w:t xml:space="preserve"> without regard to the sustainability of the habitat</w:t>
      </w:r>
      <w:r w:rsidRPr="00F954EB">
        <w:rPr>
          <w:rFonts w:asciiTheme="minorHAnsi" w:hAnsiTheme="minorHAnsi"/>
          <w:bCs/>
        </w:rPr>
        <w:t xml:space="preserve">.  We would define the </w:t>
      </w:r>
      <w:r>
        <w:rPr>
          <w:rFonts w:asciiTheme="minorHAnsi" w:hAnsiTheme="minorHAnsi"/>
          <w:bCs/>
        </w:rPr>
        <w:t>OSP</w:t>
      </w:r>
      <w:r w:rsidRPr="00F954EB">
        <w:rPr>
          <w:rFonts w:asciiTheme="minorHAnsi" w:hAnsiTheme="minorHAnsi"/>
          <w:bCs/>
        </w:rPr>
        <w:t xml:space="preserve"> as that population level which can be sustained by the habitat without risk to the habitat.  Therefore the </w:t>
      </w:r>
      <w:r>
        <w:rPr>
          <w:rFonts w:asciiTheme="minorHAnsi" w:hAnsiTheme="minorHAnsi"/>
          <w:bCs/>
        </w:rPr>
        <w:t>OSP</w:t>
      </w:r>
      <w:r w:rsidRPr="00F954EB">
        <w:rPr>
          <w:rFonts w:asciiTheme="minorHAnsi" w:hAnsiTheme="minorHAnsi"/>
          <w:bCs/>
        </w:rPr>
        <w:t xml:space="preserve"> must be such that there is reasonable margin between it and CC which can be jointly managed by both manatee and habitat managers.</w:t>
      </w:r>
    </w:p>
    <w:p w14:paraId="7BDCA22E" w14:textId="77777777" w:rsidR="002B0BE1" w:rsidRDefault="002B0BE1" w:rsidP="00246E58">
      <w:pPr>
        <w:pStyle w:val="Default"/>
        <w:rPr>
          <w:rFonts w:asciiTheme="minorHAnsi" w:hAnsiTheme="minorHAnsi"/>
          <w:bCs/>
        </w:rPr>
      </w:pPr>
    </w:p>
    <w:p w14:paraId="046B7A77" w14:textId="1F06B2E3" w:rsidR="00246E58" w:rsidRPr="00F954EB" w:rsidRDefault="0072359F" w:rsidP="00246E58">
      <w:pPr>
        <w:pStyle w:val="Default"/>
        <w:rPr>
          <w:rFonts w:asciiTheme="minorHAnsi" w:hAnsiTheme="minorHAnsi"/>
          <w:bCs/>
        </w:rPr>
      </w:pPr>
      <w:r w:rsidRPr="00F954EB">
        <w:rPr>
          <w:rFonts w:asciiTheme="minorHAnsi" w:hAnsiTheme="minorHAnsi"/>
          <w:bCs/>
        </w:rPr>
        <w:t>In May 2014</w:t>
      </w:r>
      <w:r w:rsidR="00352483" w:rsidRPr="00F954EB">
        <w:rPr>
          <w:rFonts w:asciiTheme="minorHAnsi" w:hAnsiTheme="minorHAnsi"/>
          <w:bCs/>
        </w:rPr>
        <w:t xml:space="preserve">, </w:t>
      </w:r>
      <w:r w:rsidR="002B0BE1">
        <w:rPr>
          <w:rFonts w:asciiTheme="minorHAnsi" w:hAnsiTheme="minorHAnsi"/>
          <w:bCs/>
        </w:rPr>
        <w:t>CFFW</w:t>
      </w:r>
      <w:r w:rsidR="00246E58" w:rsidRPr="00F954EB">
        <w:rPr>
          <w:rFonts w:asciiTheme="minorHAnsi" w:hAnsiTheme="minorHAnsi"/>
          <w:bCs/>
        </w:rPr>
        <w:t xml:space="preserve"> presented </w:t>
      </w:r>
      <w:r w:rsidRPr="00F954EB">
        <w:rPr>
          <w:rFonts w:asciiTheme="minorHAnsi" w:hAnsiTheme="minorHAnsi"/>
          <w:bCs/>
          <w:i/>
        </w:rPr>
        <w:t xml:space="preserve">A Look at Manatee Carrying Capacity in the </w:t>
      </w:r>
      <w:r w:rsidR="00246E58" w:rsidRPr="00F954EB">
        <w:rPr>
          <w:rFonts w:asciiTheme="minorHAnsi" w:hAnsiTheme="minorHAnsi"/>
          <w:bCs/>
          <w:i/>
        </w:rPr>
        <w:t>IRL</w:t>
      </w:r>
      <w:r w:rsidR="00246E58" w:rsidRPr="00F954EB">
        <w:rPr>
          <w:rFonts w:asciiTheme="minorHAnsi" w:hAnsiTheme="minorHAnsi"/>
          <w:bCs/>
        </w:rPr>
        <w:t xml:space="preserve"> to the Manatee Forum.  </w:t>
      </w:r>
      <w:r w:rsidR="002B0BE1">
        <w:rPr>
          <w:rFonts w:asciiTheme="minorHAnsi" w:hAnsiTheme="minorHAnsi"/>
          <w:bCs/>
        </w:rPr>
        <w:t xml:space="preserve"> </w:t>
      </w:r>
      <w:r w:rsidR="00246E58" w:rsidRPr="00F954EB">
        <w:rPr>
          <w:rFonts w:asciiTheme="minorHAnsi" w:hAnsiTheme="minorHAnsi"/>
          <w:bCs/>
        </w:rPr>
        <w:t xml:space="preserve">Although the perspective </w:t>
      </w:r>
      <w:r w:rsidR="003917EB" w:rsidRPr="00F954EB">
        <w:rPr>
          <w:rFonts w:asciiTheme="minorHAnsi" w:hAnsiTheme="minorHAnsi"/>
          <w:bCs/>
        </w:rPr>
        <w:t xml:space="preserve">and approach </w:t>
      </w:r>
      <w:r w:rsidR="00246E58" w:rsidRPr="00F954EB">
        <w:rPr>
          <w:rFonts w:asciiTheme="minorHAnsi" w:hAnsiTheme="minorHAnsi"/>
          <w:bCs/>
        </w:rPr>
        <w:t xml:space="preserve">of this analysis was vastly different from that of the IHA study, the findings </w:t>
      </w:r>
      <w:r w:rsidR="002B0BE1">
        <w:rPr>
          <w:rFonts w:asciiTheme="minorHAnsi" w:hAnsiTheme="minorHAnsi"/>
          <w:bCs/>
        </w:rPr>
        <w:t>are</w:t>
      </w:r>
      <w:r w:rsidR="00246E58" w:rsidRPr="00F954EB">
        <w:rPr>
          <w:rFonts w:asciiTheme="minorHAnsi" w:hAnsiTheme="minorHAnsi"/>
          <w:bCs/>
        </w:rPr>
        <w:t xml:space="preserve"> </w:t>
      </w:r>
      <w:r w:rsidR="003917EB" w:rsidRPr="00F954EB">
        <w:rPr>
          <w:rFonts w:asciiTheme="minorHAnsi" w:hAnsiTheme="minorHAnsi"/>
          <w:bCs/>
        </w:rPr>
        <w:t xml:space="preserve">surprisingly </w:t>
      </w:r>
      <w:r w:rsidR="00246E58" w:rsidRPr="00F954EB">
        <w:rPr>
          <w:rFonts w:asciiTheme="minorHAnsi" w:hAnsiTheme="minorHAnsi"/>
          <w:bCs/>
        </w:rPr>
        <w:t xml:space="preserve">consistent. </w:t>
      </w:r>
    </w:p>
    <w:p w14:paraId="1028ECD4" w14:textId="77777777" w:rsidR="00F4371C" w:rsidRPr="00F954EB" w:rsidRDefault="00F4371C" w:rsidP="00730020"/>
    <w:p w14:paraId="3130A229" w14:textId="1B83AF39" w:rsidR="0072359F" w:rsidRPr="00F954EB" w:rsidRDefault="002B0BE1" w:rsidP="0072359F">
      <w:pPr>
        <w:pStyle w:val="Default"/>
        <w:rPr>
          <w:rFonts w:asciiTheme="minorHAnsi" w:hAnsiTheme="minorHAnsi"/>
          <w:bCs/>
        </w:rPr>
      </w:pPr>
      <w:r>
        <w:rPr>
          <w:rFonts w:asciiTheme="minorHAnsi" w:hAnsiTheme="minorHAnsi"/>
          <w:bCs/>
        </w:rPr>
        <w:t>T</w:t>
      </w:r>
      <w:r w:rsidR="0072359F" w:rsidRPr="00F954EB">
        <w:rPr>
          <w:rFonts w:asciiTheme="minorHAnsi" w:hAnsiTheme="minorHAnsi"/>
          <w:bCs/>
        </w:rPr>
        <w:t xml:space="preserve">he IRL </w:t>
      </w:r>
      <w:r>
        <w:rPr>
          <w:rFonts w:asciiTheme="minorHAnsi" w:hAnsiTheme="minorHAnsi"/>
          <w:bCs/>
        </w:rPr>
        <w:t xml:space="preserve">s defined </w:t>
      </w:r>
      <w:r w:rsidR="0072359F" w:rsidRPr="00F954EB">
        <w:rPr>
          <w:rFonts w:asciiTheme="minorHAnsi" w:hAnsiTheme="minorHAnsi"/>
          <w:bCs/>
        </w:rPr>
        <w:t xml:space="preserve">as the system of interconnected Atlantic coastal estuary, bounded </w:t>
      </w:r>
      <w:r w:rsidR="0072359F" w:rsidRPr="00F954EB">
        <w:rPr>
          <w:rFonts w:asciiTheme="minorHAnsi" w:hAnsiTheme="minorHAnsi"/>
          <w:bCs/>
        </w:rPr>
        <w:lastRenderedPageBreak/>
        <w:t>by Ponce de Leon Inlet to north and Jupiter Inlet to the south.  For the purposes of the analysis that follows, we will use Ft. Pierce Inlet as the southern boundary.  This is simply because the SAV coverage estimates for this more limited area are readily available from the</w:t>
      </w:r>
      <w:r>
        <w:rPr>
          <w:rFonts w:asciiTheme="minorHAnsi" w:hAnsiTheme="minorHAnsi"/>
          <w:bCs/>
        </w:rPr>
        <w:t xml:space="preserve"> SJRWMD</w:t>
      </w:r>
      <w:r w:rsidR="0072359F" w:rsidRPr="00F954EB">
        <w:rPr>
          <w:rFonts w:asciiTheme="minorHAnsi" w:hAnsiTheme="minorHAnsi"/>
          <w:bCs/>
        </w:rPr>
        <w:t>.   These estimates are:</w:t>
      </w:r>
    </w:p>
    <w:p w14:paraId="285761E3" w14:textId="4204CB20" w:rsidR="00A61FE6" w:rsidRPr="00F954EB" w:rsidRDefault="00E36EBD" w:rsidP="0072359F">
      <w:pPr>
        <w:pStyle w:val="Default"/>
        <w:rPr>
          <w:rFonts w:asciiTheme="minorHAnsi" w:hAnsiTheme="minorHAnsi"/>
          <w:b/>
          <w:bCs/>
        </w:rPr>
      </w:pPr>
      <w:r w:rsidRPr="00F954EB">
        <w:rPr>
          <w:rFonts w:asciiTheme="minorHAnsi" w:hAnsiTheme="minorHAnsi"/>
          <w:b/>
          <w:bCs/>
        </w:rPr>
        <w:tab/>
      </w:r>
      <w:r w:rsidRPr="00F954EB">
        <w:rPr>
          <w:rFonts w:asciiTheme="minorHAnsi" w:hAnsiTheme="minorHAnsi"/>
          <w:b/>
          <w:bCs/>
        </w:rPr>
        <w:tab/>
      </w:r>
      <w:r w:rsidRPr="00F954EB">
        <w:rPr>
          <w:rFonts w:asciiTheme="minorHAnsi" w:hAnsiTheme="minorHAnsi"/>
          <w:b/>
          <w:bCs/>
        </w:rPr>
        <w:tab/>
        <w:t>YEAR</w:t>
      </w:r>
      <w:r w:rsidRPr="00F954EB">
        <w:rPr>
          <w:rFonts w:asciiTheme="minorHAnsi" w:hAnsiTheme="minorHAnsi"/>
          <w:b/>
          <w:bCs/>
        </w:rPr>
        <w:tab/>
      </w:r>
      <w:r w:rsidRPr="00F954EB">
        <w:rPr>
          <w:rFonts w:asciiTheme="minorHAnsi" w:hAnsiTheme="minorHAnsi"/>
          <w:b/>
          <w:bCs/>
        </w:rPr>
        <w:tab/>
        <w:t>Acres SAV</w:t>
      </w:r>
    </w:p>
    <w:p w14:paraId="31C9DA9C" w14:textId="4CF168E2" w:rsidR="0072359F" w:rsidRPr="00F954EB" w:rsidRDefault="0072359F" w:rsidP="00A61FE6">
      <w:pPr>
        <w:pStyle w:val="Default"/>
        <w:ind w:left="720" w:firstLine="720"/>
        <w:rPr>
          <w:rFonts w:asciiTheme="minorHAnsi" w:hAnsiTheme="minorHAnsi"/>
          <w:bCs/>
        </w:rPr>
      </w:pPr>
      <w:r w:rsidRPr="00F954EB">
        <w:rPr>
          <w:rFonts w:asciiTheme="minorHAnsi" w:hAnsiTheme="minorHAnsi"/>
          <w:bCs/>
        </w:rPr>
        <w:tab/>
        <w:t>2007</w:t>
      </w:r>
      <w:r w:rsidRPr="00F954EB">
        <w:rPr>
          <w:rFonts w:asciiTheme="minorHAnsi" w:hAnsiTheme="minorHAnsi"/>
          <w:bCs/>
        </w:rPr>
        <w:tab/>
      </w:r>
      <w:r w:rsidRPr="00F954EB">
        <w:rPr>
          <w:rFonts w:asciiTheme="minorHAnsi" w:hAnsiTheme="minorHAnsi"/>
          <w:bCs/>
        </w:rPr>
        <w:tab/>
        <w:t xml:space="preserve">84,000 </w:t>
      </w:r>
    </w:p>
    <w:p w14:paraId="1776DBC1" w14:textId="64519345" w:rsidR="0072359F" w:rsidRPr="00F954EB" w:rsidRDefault="0072359F" w:rsidP="00A61FE6">
      <w:pPr>
        <w:pStyle w:val="Default"/>
        <w:ind w:left="720" w:firstLine="720"/>
        <w:rPr>
          <w:rFonts w:asciiTheme="minorHAnsi" w:hAnsiTheme="minorHAnsi"/>
          <w:bCs/>
        </w:rPr>
      </w:pPr>
      <w:r w:rsidRPr="00F954EB">
        <w:rPr>
          <w:rFonts w:asciiTheme="minorHAnsi" w:hAnsiTheme="minorHAnsi"/>
          <w:bCs/>
        </w:rPr>
        <w:tab/>
        <w:t>2009</w:t>
      </w:r>
      <w:r w:rsidRPr="00F954EB">
        <w:rPr>
          <w:rFonts w:asciiTheme="minorHAnsi" w:hAnsiTheme="minorHAnsi"/>
          <w:bCs/>
        </w:rPr>
        <w:tab/>
      </w:r>
      <w:r w:rsidRPr="00F954EB">
        <w:rPr>
          <w:rFonts w:asciiTheme="minorHAnsi" w:hAnsiTheme="minorHAnsi"/>
          <w:bCs/>
        </w:rPr>
        <w:tab/>
        <w:t>73,000</w:t>
      </w:r>
      <w:r w:rsidR="00C4386A" w:rsidRPr="00F954EB">
        <w:rPr>
          <w:rFonts w:asciiTheme="minorHAnsi" w:hAnsiTheme="minorHAnsi"/>
          <w:bCs/>
        </w:rPr>
        <w:t xml:space="preserve"> </w:t>
      </w:r>
    </w:p>
    <w:p w14:paraId="07E8DBE9" w14:textId="288BB0DC" w:rsidR="0072359F" w:rsidRPr="00F954EB" w:rsidRDefault="0072359F" w:rsidP="00A61FE6">
      <w:pPr>
        <w:pStyle w:val="Default"/>
        <w:ind w:left="720" w:firstLine="720"/>
        <w:rPr>
          <w:rFonts w:asciiTheme="minorHAnsi" w:hAnsiTheme="minorHAnsi"/>
          <w:bCs/>
        </w:rPr>
      </w:pPr>
      <w:r w:rsidRPr="00F954EB">
        <w:rPr>
          <w:rFonts w:asciiTheme="minorHAnsi" w:hAnsiTheme="minorHAnsi"/>
          <w:bCs/>
        </w:rPr>
        <w:tab/>
        <w:t>2011</w:t>
      </w:r>
      <w:r w:rsidRPr="00F954EB">
        <w:rPr>
          <w:rFonts w:asciiTheme="minorHAnsi" w:hAnsiTheme="minorHAnsi"/>
          <w:bCs/>
        </w:rPr>
        <w:tab/>
      </w:r>
      <w:r w:rsidRPr="00F954EB">
        <w:rPr>
          <w:rFonts w:asciiTheme="minorHAnsi" w:hAnsiTheme="minorHAnsi"/>
          <w:bCs/>
        </w:rPr>
        <w:tab/>
        <w:t>41,000</w:t>
      </w:r>
      <w:r w:rsidR="00C4386A" w:rsidRPr="00F954EB">
        <w:rPr>
          <w:rFonts w:asciiTheme="minorHAnsi" w:hAnsiTheme="minorHAnsi"/>
          <w:bCs/>
        </w:rPr>
        <w:t xml:space="preserve"> </w:t>
      </w:r>
    </w:p>
    <w:p w14:paraId="0F4EFD05" w14:textId="77777777" w:rsidR="000C42EF" w:rsidRPr="00F954EB" w:rsidRDefault="000C42EF" w:rsidP="0072359F">
      <w:pPr>
        <w:pStyle w:val="Default"/>
        <w:rPr>
          <w:rFonts w:asciiTheme="minorHAnsi" w:hAnsiTheme="minorHAnsi"/>
          <w:bCs/>
        </w:rPr>
      </w:pPr>
    </w:p>
    <w:p w14:paraId="0D1246B4" w14:textId="25E5EEEE" w:rsidR="00F4371C" w:rsidRPr="00F954EB" w:rsidRDefault="000C42EF" w:rsidP="00730020">
      <w:r w:rsidRPr="00F954EB">
        <w:t xml:space="preserve">Florida FWC provided a wide range of estimates for seagrass </w:t>
      </w:r>
      <w:r w:rsidR="002B0BE1">
        <w:t>density/</w:t>
      </w:r>
      <w:r w:rsidRPr="00F954EB">
        <w:t>production in the IRL:</w:t>
      </w:r>
    </w:p>
    <w:p w14:paraId="1BBFCE3B" w14:textId="77777777" w:rsidR="00A61FE6" w:rsidRPr="00F954EB" w:rsidRDefault="00A61FE6" w:rsidP="00730020"/>
    <w:p w14:paraId="120CA5E4" w14:textId="79D8EA7B" w:rsidR="00E36EBD" w:rsidRPr="00F954EB" w:rsidRDefault="000C42EF" w:rsidP="00730020">
      <w:pPr>
        <w:rPr>
          <w:b/>
        </w:rPr>
      </w:pPr>
      <w:r w:rsidRPr="00F954EB">
        <w:rPr>
          <w:b/>
        </w:rPr>
        <w:tab/>
      </w:r>
      <w:r w:rsidR="00E36EBD" w:rsidRPr="00F954EB">
        <w:rPr>
          <w:b/>
        </w:rPr>
        <w:t>SOURCE</w:t>
      </w:r>
      <w:r w:rsidR="00E36EBD" w:rsidRPr="00F954EB">
        <w:rPr>
          <w:b/>
        </w:rPr>
        <w:tab/>
      </w:r>
      <w:r w:rsidR="00E36EBD" w:rsidRPr="00F954EB">
        <w:rPr>
          <w:b/>
        </w:rPr>
        <w:tab/>
      </w:r>
      <w:r w:rsidR="00E36EBD" w:rsidRPr="00F954EB">
        <w:rPr>
          <w:b/>
        </w:rPr>
        <w:tab/>
        <w:t xml:space="preserve">Production/Density (wet </w:t>
      </w:r>
      <w:proofErr w:type="spellStart"/>
      <w:r w:rsidR="00E36EBD" w:rsidRPr="00F954EB">
        <w:rPr>
          <w:b/>
        </w:rPr>
        <w:t>lbs</w:t>
      </w:r>
      <w:proofErr w:type="spellEnd"/>
      <w:r w:rsidR="00E36EBD" w:rsidRPr="00F954EB">
        <w:rPr>
          <w:b/>
        </w:rPr>
        <w:t xml:space="preserve"> / acre / year)</w:t>
      </w:r>
      <w:r w:rsidR="00E36EBD" w:rsidRPr="00F954EB">
        <w:rPr>
          <w:b/>
        </w:rPr>
        <w:tab/>
      </w:r>
    </w:p>
    <w:p w14:paraId="1D429196" w14:textId="11A87622" w:rsidR="000C42EF" w:rsidRPr="00F954EB" w:rsidRDefault="000C42EF" w:rsidP="00E36EBD">
      <w:pPr>
        <w:ind w:firstLine="720"/>
      </w:pPr>
      <w:r w:rsidRPr="00F954EB">
        <w:t>Short, et al - 1993</w:t>
      </w:r>
      <w:r w:rsidRPr="00F954EB">
        <w:tab/>
      </w:r>
      <w:r w:rsidRPr="00F954EB">
        <w:tab/>
      </w:r>
      <w:r w:rsidR="00E36EBD" w:rsidRPr="00F954EB">
        <w:tab/>
      </w:r>
      <w:r w:rsidR="00E36EBD" w:rsidRPr="00F954EB">
        <w:tab/>
      </w:r>
      <w:r w:rsidRPr="00F954EB">
        <w:t xml:space="preserve">6210 </w:t>
      </w:r>
    </w:p>
    <w:p w14:paraId="015C1B34" w14:textId="06C8BD2A" w:rsidR="000C42EF" w:rsidRPr="00F954EB" w:rsidRDefault="000C42EF" w:rsidP="00730020">
      <w:r w:rsidRPr="00F954EB">
        <w:tab/>
        <w:t>SJRWMD  - 1996 – 2010</w:t>
      </w:r>
      <w:r w:rsidRPr="00F954EB">
        <w:tab/>
      </w:r>
      <w:r w:rsidR="00E36EBD" w:rsidRPr="00F954EB">
        <w:tab/>
      </w:r>
      <w:r w:rsidR="00E36EBD" w:rsidRPr="00F954EB">
        <w:tab/>
      </w:r>
      <w:r w:rsidRPr="00F954EB">
        <w:t xml:space="preserve">1446 </w:t>
      </w:r>
    </w:p>
    <w:p w14:paraId="696F9BDE" w14:textId="031ECCB6" w:rsidR="000C42EF" w:rsidRPr="00F954EB" w:rsidRDefault="000C42EF" w:rsidP="00730020">
      <w:r w:rsidRPr="00F954EB">
        <w:tab/>
      </w:r>
      <w:proofErr w:type="spellStart"/>
      <w:r w:rsidRPr="00F954EB">
        <w:t>Provencha</w:t>
      </w:r>
      <w:proofErr w:type="spellEnd"/>
      <w:r w:rsidRPr="00F954EB">
        <w:t>, et al – 2012</w:t>
      </w:r>
      <w:r w:rsidRPr="00F954EB">
        <w:tab/>
        <w:t xml:space="preserve"> </w:t>
      </w:r>
    </w:p>
    <w:p w14:paraId="112F1806" w14:textId="5E0D9A52" w:rsidR="00F4371C" w:rsidRPr="00F954EB" w:rsidRDefault="000C42EF" w:rsidP="00730020">
      <w:r w:rsidRPr="00F954EB">
        <w:tab/>
      </w:r>
      <w:r w:rsidRPr="00F954EB">
        <w:tab/>
        <w:t>(the IHA Study)</w:t>
      </w:r>
      <w:r w:rsidR="00A61FE6" w:rsidRPr="00F954EB">
        <w:tab/>
      </w:r>
      <w:r w:rsidR="00E36EBD" w:rsidRPr="00F954EB">
        <w:t xml:space="preserve">       </w:t>
      </w:r>
      <w:r w:rsidR="00E36EBD" w:rsidRPr="00F954EB">
        <w:tab/>
        <w:t xml:space="preserve">      7003 –</w:t>
      </w:r>
      <w:r w:rsidR="00A61FE6" w:rsidRPr="00F954EB">
        <w:t xml:space="preserve">14454 </w:t>
      </w:r>
    </w:p>
    <w:p w14:paraId="644D6A27" w14:textId="77777777" w:rsidR="000C42EF" w:rsidRPr="00F954EB" w:rsidRDefault="000C42EF" w:rsidP="00730020"/>
    <w:p w14:paraId="33573B16" w14:textId="4FB7BBA2" w:rsidR="00272C2F" w:rsidRPr="00F954EB" w:rsidRDefault="000C42EF" w:rsidP="00730020">
      <w:r w:rsidRPr="00F954EB">
        <w:t xml:space="preserve">FWC also provided that an average manatee is 1,000 </w:t>
      </w:r>
      <w:proofErr w:type="spellStart"/>
      <w:r w:rsidRPr="00F954EB">
        <w:t>lbs</w:t>
      </w:r>
      <w:proofErr w:type="spellEnd"/>
      <w:r w:rsidRPr="00F954EB">
        <w:t xml:space="preserve"> and consumes 4 – 9% of body weight per day which equates to 42 – 94 </w:t>
      </w:r>
      <w:r w:rsidR="00592DB6" w:rsidRPr="00F954EB">
        <w:t xml:space="preserve">wet </w:t>
      </w:r>
      <w:proofErr w:type="spellStart"/>
      <w:r w:rsidRPr="00F954EB">
        <w:t>lbs</w:t>
      </w:r>
      <w:proofErr w:type="spellEnd"/>
      <w:r w:rsidRPr="00F954EB">
        <w:t xml:space="preserve"> / day. </w:t>
      </w:r>
      <w:r w:rsidR="00E36EBD" w:rsidRPr="00F954EB">
        <w:t xml:space="preserve">  </w:t>
      </w:r>
    </w:p>
    <w:p w14:paraId="10A5C047" w14:textId="77777777" w:rsidR="00272C2F" w:rsidRDefault="00272C2F" w:rsidP="00272C2F">
      <w:pPr>
        <w:ind w:left="360" w:right="630"/>
        <w:rPr>
          <w:sz w:val="18"/>
        </w:rPr>
      </w:pPr>
    </w:p>
    <w:p w14:paraId="08EE42FF" w14:textId="27DDBA63" w:rsidR="000C42EF" w:rsidRPr="002B0BE1" w:rsidRDefault="00E36EBD" w:rsidP="00272C2F">
      <w:pPr>
        <w:ind w:left="360" w:right="630"/>
        <w:rPr>
          <w:i/>
          <w:sz w:val="18"/>
        </w:rPr>
      </w:pPr>
      <w:r w:rsidRPr="002B0BE1">
        <w:rPr>
          <w:i/>
          <w:sz w:val="18"/>
        </w:rPr>
        <w:t>By comparison, T</w:t>
      </w:r>
      <w:r w:rsidR="00272C2F" w:rsidRPr="002B0BE1">
        <w:rPr>
          <w:i/>
          <w:sz w:val="18"/>
        </w:rPr>
        <w:t>able 1 of t</w:t>
      </w:r>
      <w:r w:rsidRPr="002B0BE1">
        <w:rPr>
          <w:i/>
          <w:sz w:val="18"/>
        </w:rPr>
        <w:t>he IHA study assumed 800kg with a</w:t>
      </w:r>
      <w:r w:rsidR="00272C2F" w:rsidRPr="002B0BE1">
        <w:rPr>
          <w:i/>
          <w:sz w:val="18"/>
        </w:rPr>
        <w:t xml:space="preserve"> simulation range of 500-1200kg.  (since this translates to a ra</w:t>
      </w:r>
      <w:r w:rsidR="002B0BE1">
        <w:rPr>
          <w:i/>
          <w:sz w:val="18"/>
        </w:rPr>
        <w:t xml:space="preserve">nge of 1100-2640 </w:t>
      </w:r>
      <w:proofErr w:type="spellStart"/>
      <w:r w:rsidR="002B0BE1">
        <w:rPr>
          <w:i/>
          <w:sz w:val="18"/>
        </w:rPr>
        <w:t>lbs</w:t>
      </w:r>
      <w:proofErr w:type="spellEnd"/>
      <w:r w:rsidR="002B0BE1">
        <w:rPr>
          <w:i/>
          <w:sz w:val="18"/>
        </w:rPr>
        <w:t>, we assume</w:t>
      </w:r>
      <w:r w:rsidR="00272C2F" w:rsidRPr="002B0BE1">
        <w:rPr>
          <w:i/>
          <w:sz w:val="18"/>
        </w:rPr>
        <w:t xml:space="preserve"> the IHA study meant to express manatee weight as 500 - 1200lbs).  Based on this correction and assuming 12 – 14 % body mass as daily intake, the IHA study used a consumption range of 60 – 168 wet </w:t>
      </w:r>
      <w:proofErr w:type="spellStart"/>
      <w:r w:rsidR="00272C2F" w:rsidRPr="002B0BE1">
        <w:rPr>
          <w:i/>
          <w:sz w:val="18"/>
        </w:rPr>
        <w:t>lbs</w:t>
      </w:r>
      <w:proofErr w:type="spellEnd"/>
      <w:r w:rsidR="00272C2F" w:rsidRPr="002B0BE1">
        <w:rPr>
          <w:i/>
          <w:sz w:val="18"/>
        </w:rPr>
        <w:t xml:space="preserve"> /day.</w:t>
      </w:r>
      <w:r w:rsidR="00FC01E8">
        <w:rPr>
          <w:i/>
          <w:sz w:val="18"/>
        </w:rPr>
        <w:t xml:space="preserve">  If one were to assume the weight estimate is actually expressed as kg, the consumption range would be 132 – 370 wet </w:t>
      </w:r>
      <w:proofErr w:type="spellStart"/>
      <w:r w:rsidR="00FC01E8">
        <w:rPr>
          <w:i/>
          <w:sz w:val="18"/>
        </w:rPr>
        <w:t>lbs</w:t>
      </w:r>
      <w:proofErr w:type="spellEnd"/>
      <w:r w:rsidR="00FC01E8">
        <w:rPr>
          <w:i/>
          <w:sz w:val="18"/>
        </w:rPr>
        <w:t>/day.  These values are outside any previously acceptable consumption rates.</w:t>
      </w:r>
    </w:p>
    <w:p w14:paraId="41CE2475" w14:textId="77777777" w:rsidR="00272C2F" w:rsidRPr="00272C2F" w:rsidRDefault="00272C2F" w:rsidP="00272C2F">
      <w:pPr>
        <w:ind w:left="360" w:right="630"/>
        <w:rPr>
          <w:sz w:val="18"/>
        </w:rPr>
      </w:pPr>
    </w:p>
    <w:p w14:paraId="144E5F17" w14:textId="3759529E" w:rsidR="000C42EF" w:rsidRDefault="000C42EF" w:rsidP="00730020">
      <w:r>
        <w:t>How many acres of IRL se</w:t>
      </w:r>
      <w:r w:rsidR="00975AE0">
        <w:t>agrass are required to sustain one h</w:t>
      </w:r>
      <w:r>
        <w:t>ealthy manatee for one year?  Looking at minimum consumption combined with maximum SAV production we get:</w:t>
      </w:r>
    </w:p>
    <w:p w14:paraId="3E61361E" w14:textId="25B0569D" w:rsidR="00866D1A" w:rsidRDefault="00866D1A" w:rsidP="00730020">
      <w:r>
        <w:tab/>
      </w:r>
      <w:r w:rsidRPr="00866D1A">
        <w:rPr>
          <w:u w:val="single"/>
        </w:rPr>
        <w:t>42lbs</w:t>
      </w:r>
      <w:r>
        <w:tab/>
        <w:t xml:space="preserve">    x</w:t>
      </w:r>
      <w:r>
        <w:tab/>
      </w:r>
      <w:r w:rsidRPr="00866D1A">
        <w:rPr>
          <w:u w:val="single"/>
        </w:rPr>
        <w:t>365 days</w:t>
      </w:r>
      <w:r w:rsidRPr="00866D1A">
        <w:t xml:space="preserve">    x</w:t>
      </w:r>
      <w:r>
        <w:tab/>
      </w:r>
      <w:r>
        <w:rPr>
          <w:u w:val="single"/>
        </w:rPr>
        <w:t>acre</w:t>
      </w:r>
      <w:r>
        <w:t xml:space="preserve">       </w:t>
      </w:r>
      <w:r>
        <w:tab/>
        <w:t>=</w:t>
      </w:r>
      <w:r>
        <w:tab/>
        <w:t>1.06 Acres of Seagrass /</w:t>
      </w:r>
      <w:proofErr w:type="spellStart"/>
      <w:r>
        <w:t>yr</w:t>
      </w:r>
      <w:proofErr w:type="spellEnd"/>
    </w:p>
    <w:p w14:paraId="56B94D3C" w14:textId="7CC640BD" w:rsidR="00F4371C" w:rsidRDefault="00866D1A" w:rsidP="00866D1A">
      <w:pPr>
        <w:ind w:firstLine="720"/>
      </w:pPr>
      <w:r>
        <w:t>day</w:t>
      </w:r>
      <w:r>
        <w:tab/>
      </w:r>
      <w:r>
        <w:tab/>
        <w:t>year</w:t>
      </w:r>
      <w:r>
        <w:tab/>
      </w:r>
      <w:r>
        <w:tab/>
        <w:t xml:space="preserve">14,500 </w:t>
      </w:r>
      <w:proofErr w:type="spellStart"/>
      <w:r>
        <w:t>lbs</w:t>
      </w:r>
      <w:proofErr w:type="spellEnd"/>
    </w:p>
    <w:p w14:paraId="1DD4D356" w14:textId="7D02BB84" w:rsidR="00F4371C" w:rsidRDefault="00866D1A" w:rsidP="00730020">
      <w:r>
        <w:tab/>
      </w:r>
    </w:p>
    <w:p w14:paraId="403F78B3" w14:textId="14BBE23F" w:rsidR="00975AE0" w:rsidRDefault="00975AE0" w:rsidP="00866D1A">
      <w:r>
        <w:t>Looking at maximum consumption combined with minimum SAV production we get:</w:t>
      </w:r>
    </w:p>
    <w:p w14:paraId="4D7EE9B3" w14:textId="5E064C5C" w:rsidR="00866D1A" w:rsidRDefault="00866D1A" w:rsidP="00866D1A">
      <w:r>
        <w:tab/>
      </w:r>
      <w:r>
        <w:rPr>
          <w:u w:val="single"/>
        </w:rPr>
        <w:t>94</w:t>
      </w:r>
      <w:r w:rsidRPr="00866D1A">
        <w:rPr>
          <w:u w:val="single"/>
        </w:rPr>
        <w:t>lbs</w:t>
      </w:r>
      <w:r>
        <w:tab/>
        <w:t xml:space="preserve">    x</w:t>
      </w:r>
      <w:r>
        <w:tab/>
      </w:r>
      <w:r w:rsidRPr="00866D1A">
        <w:rPr>
          <w:u w:val="single"/>
        </w:rPr>
        <w:t>365 days</w:t>
      </w:r>
      <w:r w:rsidRPr="00866D1A">
        <w:t xml:space="preserve">    x</w:t>
      </w:r>
      <w:r>
        <w:tab/>
      </w:r>
      <w:r>
        <w:rPr>
          <w:u w:val="single"/>
        </w:rPr>
        <w:t>acre</w:t>
      </w:r>
      <w:r>
        <w:t xml:space="preserve">       </w:t>
      </w:r>
      <w:r>
        <w:tab/>
        <w:t>=</w:t>
      </w:r>
      <w:r>
        <w:tab/>
      </w:r>
      <w:r w:rsidR="00975AE0">
        <w:t>23.7</w:t>
      </w:r>
      <w:r>
        <w:t xml:space="preserve"> Acres of Seagrass /</w:t>
      </w:r>
      <w:proofErr w:type="spellStart"/>
      <w:r>
        <w:t>yr</w:t>
      </w:r>
      <w:proofErr w:type="spellEnd"/>
    </w:p>
    <w:p w14:paraId="18D8577D" w14:textId="5DBE8F9D" w:rsidR="00866D1A" w:rsidRDefault="00866D1A" w:rsidP="00866D1A">
      <w:pPr>
        <w:ind w:firstLine="720"/>
      </w:pPr>
      <w:r>
        <w:t>day</w:t>
      </w:r>
      <w:r>
        <w:tab/>
      </w:r>
      <w:r>
        <w:tab/>
        <w:t>year</w:t>
      </w:r>
      <w:r>
        <w:tab/>
      </w:r>
      <w:r>
        <w:tab/>
        <w:t xml:space="preserve">1446 </w:t>
      </w:r>
      <w:proofErr w:type="spellStart"/>
      <w:r>
        <w:t>lbs</w:t>
      </w:r>
      <w:proofErr w:type="spellEnd"/>
    </w:p>
    <w:p w14:paraId="3BC4DCF5" w14:textId="77777777" w:rsidR="00FA25DD" w:rsidRDefault="00FA25DD" w:rsidP="00FA25DD"/>
    <w:p w14:paraId="3E722B6B" w14:textId="66249B3C" w:rsidR="00592DB6" w:rsidRDefault="00592DB6" w:rsidP="00FA25DD">
      <w:r>
        <w:t>So we have developed upper and lower bounds for acreage of SAV to sustain 1 manatee for 1 year.  Admittedly this is a wide range, but that is a direct result of the wide range of SAV production estimates.</w:t>
      </w:r>
    </w:p>
    <w:p w14:paraId="234D4389" w14:textId="77777777" w:rsidR="00592DB6" w:rsidRDefault="00592DB6" w:rsidP="00FA25DD"/>
    <w:p w14:paraId="5831163C" w14:textId="101130A6" w:rsidR="00592DB6" w:rsidRDefault="007B55EE" w:rsidP="00FA25DD">
      <w:r>
        <w:t>Unlike familiar land grazing mammals such as horses, cows and sheep</w:t>
      </w:r>
      <w:r w:rsidR="00975AE0">
        <w:t>, the manatee</w:t>
      </w:r>
      <w:r>
        <w:t xml:space="preserve"> has teeth in the front of it jaw.  Therefore it</w:t>
      </w:r>
      <w:r w:rsidR="00975AE0">
        <w:t xml:space="preserve"> </w:t>
      </w:r>
      <w:r>
        <w:t>has no ability to bite grass off and only weak grass will break off in the manatee split gum front</w:t>
      </w:r>
      <w:r w:rsidR="00D82720">
        <w:t xml:space="preserve"> jaw.  As t</w:t>
      </w:r>
      <w:r>
        <w:t xml:space="preserve">he manatee tugs and </w:t>
      </w:r>
      <w:r w:rsidR="00975AE0">
        <w:t xml:space="preserve">pulls </w:t>
      </w:r>
      <w:r>
        <w:t>at SAV</w:t>
      </w:r>
      <w:r w:rsidR="00D82720">
        <w:t>,</w:t>
      </w:r>
      <w:r>
        <w:t xml:space="preserve"> a significant percentage</w:t>
      </w:r>
      <w:r w:rsidR="00D82720">
        <w:t xml:space="preserve"> is</w:t>
      </w:r>
      <w:r>
        <w:t xml:space="preserve"> pulled </w:t>
      </w:r>
      <w:r w:rsidR="00D82720">
        <w:t xml:space="preserve">up by the roots </w:t>
      </w:r>
      <w:r w:rsidR="00975AE0">
        <w:t xml:space="preserve">leaving bare bottom.  How long does it take this bare bottom to </w:t>
      </w:r>
      <w:proofErr w:type="gramStart"/>
      <w:r w:rsidR="00975AE0">
        <w:t>replenish.</w:t>
      </w:r>
      <w:proofErr w:type="gramEnd"/>
      <w:r w:rsidR="00975AE0">
        <w:t xml:space="preserve">  In </w:t>
      </w:r>
      <w:r w:rsidR="00D82720">
        <w:t xml:space="preserve">the observation of </w:t>
      </w:r>
      <w:r w:rsidR="00D82720">
        <w:lastRenderedPageBreak/>
        <w:t>CFFW</w:t>
      </w:r>
      <w:r w:rsidR="00592DB6">
        <w:t>,</w:t>
      </w:r>
      <w:r w:rsidR="00975AE0">
        <w:t xml:space="preserve"> – it NEVER grows back – but to be conservative, </w:t>
      </w:r>
      <w:r w:rsidR="00D82720">
        <w:t>we have chosen to</w:t>
      </w:r>
      <w:r w:rsidR="00975AE0">
        <w:t xml:space="preserve"> use </w:t>
      </w:r>
      <w:r w:rsidR="00D82720">
        <w:t>a four year regrowth term</w:t>
      </w:r>
      <w:r w:rsidR="00975AE0">
        <w:t xml:space="preserve">.  </w:t>
      </w:r>
    </w:p>
    <w:p w14:paraId="196CD5DC" w14:textId="77777777" w:rsidR="00592DB6" w:rsidRDefault="00592DB6" w:rsidP="00FA25DD"/>
    <w:p w14:paraId="06E35837" w14:textId="78E91BF0" w:rsidR="00975AE0" w:rsidRDefault="00592DB6" w:rsidP="00FA25DD">
      <w:r>
        <w:t xml:space="preserve">Depending on the estimate used for bare bottom regrowth, </w:t>
      </w:r>
      <w:r w:rsidR="00975AE0">
        <w:t xml:space="preserve">the acreage that is consumed in the first year will not replenish for </w:t>
      </w:r>
      <w:r>
        <w:t>the number of years determined.</w:t>
      </w:r>
      <w:r w:rsidR="00975AE0">
        <w:t xml:space="preserve"> </w:t>
      </w:r>
      <w:r>
        <w:t>One must</w:t>
      </w:r>
      <w:r w:rsidR="00975AE0">
        <w:t xml:space="preserve"> multiply the minimum acreage to sustain 1 manatee for 1 year by a factor of </w:t>
      </w:r>
      <w:r>
        <w:t>the</w:t>
      </w:r>
      <w:r w:rsidR="00975AE0">
        <w:t xml:space="preserve"> number of years which</w:t>
      </w:r>
      <w:r>
        <w:t xml:space="preserve"> the reader feels is reasonable to determine the minimum number of SAV acres to sustain 1 manatee indefinitely</w:t>
      </w:r>
      <w:r w:rsidR="00975AE0">
        <w:t xml:space="preserve">.  </w:t>
      </w:r>
    </w:p>
    <w:p w14:paraId="20791DDB" w14:textId="77777777" w:rsidR="00975AE0" w:rsidRDefault="00975AE0" w:rsidP="00FA25DD"/>
    <w:p w14:paraId="4AD5E9EC" w14:textId="0B8D7BD0" w:rsidR="00975AE0" w:rsidRDefault="00592DB6" w:rsidP="00FA25DD">
      <w:r>
        <w:t>Using 4 years, yields upper and lower bounds of</w:t>
      </w:r>
      <w:r w:rsidR="00975AE0">
        <w:t xml:space="preserve"> 4.24 and 94.9 acres of </w:t>
      </w:r>
      <w:r w:rsidR="00D82720">
        <w:t>SAV</w:t>
      </w:r>
      <w:r w:rsidR="00975AE0">
        <w:t xml:space="preserve"> for long term sustained health of 1 manatee.  One can argue </w:t>
      </w:r>
      <w:r>
        <w:t>whether</w:t>
      </w:r>
      <w:r w:rsidR="00975AE0">
        <w:t xml:space="preserve"> this is the best approach to find the </w:t>
      </w:r>
      <w:r w:rsidR="00273208">
        <w:t>CC</w:t>
      </w:r>
      <w:r w:rsidR="00975AE0">
        <w:t xml:space="preserve"> of a local area.  For the IRL, </w:t>
      </w:r>
      <w:r w:rsidR="00A37839">
        <w:t xml:space="preserve">with 41,000 acres of seagrass available, </w:t>
      </w:r>
      <w:r w:rsidR="00975AE0">
        <w:t xml:space="preserve">this would imply a </w:t>
      </w:r>
      <w:r w:rsidR="00D82720">
        <w:t>CC is</w:t>
      </w:r>
      <w:r w:rsidR="00975AE0">
        <w:t xml:space="preserve"> </w:t>
      </w:r>
      <w:r w:rsidR="00A37839">
        <w:t xml:space="preserve">bounded between around </w:t>
      </w:r>
      <w:r w:rsidR="00D82720">
        <w:t>432</w:t>
      </w:r>
      <w:r w:rsidR="00A37839">
        <w:t xml:space="preserve"> and </w:t>
      </w:r>
      <w:r w:rsidR="00D82720">
        <w:t>9700</w:t>
      </w:r>
      <w:r w:rsidR="00273208">
        <w:t xml:space="preserve"> manatees</w:t>
      </w:r>
      <w:r w:rsidR="00A37839">
        <w:t xml:space="preserve">. </w:t>
      </w:r>
      <w:r w:rsidR="002B0E3F">
        <w:t xml:space="preserve"> These numbers are comparable in both principle and magnitude to the 0 (628) and 100 (2906) percentile values in the IHA Study considering the extended range of the IRL beyond the range of the areas </w:t>
      </w:r>
      <w:proofErr w:type="spellStart"/>
      <w:r w:rsidR="002B0E3F">
        <w:t>evluated</w:t>
      </w:r>
      <w:proofErr w:type="spellEnd"/>
      <w:r w:rsidR="002B0E3F">
        <w:t xml:space="preserve"> in the IHA study.  </w:t>
      </w:r>
    </w:p>
    <w:p w14:paraId="374AC8A1" w14:textId="77777777" w:rsidR="00A37839" w:rsidRDefault="00A37839" w:rsidP="00FA25DD"/>
    <w:p w14:paraId="3B4CD46A" w14:textId="0B89AFC5" w:rsidR="00273208" w:rsidRDefault="00A37839" w:rsidP="00FA25DD">
      <w:r>
        <w:t xml:space="preserve">The problem with this calculation is that we have assigned ownership of all the </w:t>
      </w:r>
      <w:r w:rsidR="00D82720">
        <w:t>SAV</w:t>
      </w:r>
      <w:r>
        <w:t xml:space="preserve"> to the manatee. </w:t>
      </w:r>
      <w:r w:rsidR="00273208">
        <w:t xml:space="preserve">  An </w:t>
      </w:r>
      <w:r w:rsidR="00D82720">
        <w:t>OSP</w:t>
      </w:r>
      <w:r>
        <w:t xml:space="preserve"> must survive </w:t>
      </w:r>
      <w:r w:rsidR="00273208">
        <w:t>without</w:t>
      </w:r>
      <w:r>
        <w:t xml:space="preserve"> detriment of its habitat.  In this case </w:t>
      </w:r>
      <w:r w:rsidR="00273208">
        <w:t>the SAV is the</w:t>
      </w:r>
      <w:r>
        <w:t xml:space="preserve"> habitat </w:t>
      </w:r>
      <w:r w:rsidR="00273208">
        <w:t>for</w:t>
      </w:r>
      <w:r>
        <w:t xml:space="preserve"> part of the life cycle of every living creature in the IRL.   So again, conservatively, let’s assign </w:t>
      </w:r>
      <w:r w:rsidR="002B0E3F">
        <w:t>50%</w:t>
      </w:r>
      <w:r>
        <w:t xml:space="preserve"> of the SAV to the manatee and leave </w:t>
      </w:r>
      <w:r w:rsidR="002B0E3F">
        <w:t>50%</w:t>
      </w:r>
      <w:r>
        <w:t xml:space="preserve"> </w:t>
      </w:r>
      <w:r w:rsidR="00D82720">
        <w:t xml:space="preserve">un-impacted by manatee forage and available </w:t>
      </w:r>
      <w:r>
        <w:t xml:space="preserve">for </w:t>
      </w:r>
      <w:r w:rsidR="00D82720">
        <w:t>the survival of all other creatures in the ecosystem.  This would bound the OSP</w:t>
      </w:r>
      <w:r>
        <w:t xml:space="preserve"> </w:t>
      </w:r>
      <w:r w:rsidR="00D82720">
        <w:t xml:space="preserve">roughly </w:t>
      </w:r>
      <w:r>
        <w:t xml:space="preserve">between 215 and 4800 manatees.  </w:t>
      </w:r>
    </w:p>
    <w:p w14:paraId="2D5FBB76" w14:textId="77777777" w:rsidR="00273208" w:rsidRDefault="00273208" w:rsidP="00FA25DD"/>
    <w:p w14:paraId="4C2000E5" w14:textId="5AE8438B" w:rsidR="00A37839" w:rsidRDefault="00A37839" w:rsidP="00FA25DD">
      <w:r>
        <w:t xml:space="preserve">But remember – these </w:t>
      </w:r>
      <w:r w:rsidR="00273208">
        <w:t>a</w:t>
      </w:r>
      <w:r>
        <w:t xml:space="preserve">re </w:t>
      </w:r>
      <w:r w:rsidR="00273208">
        <w:t>boundary values</w:t>
      </w:r>
      <w:r>
        <w:t xml:space="preserve"> and the closer we get to 4800 the more likely we are putting the IRL at risk since the upper bound assumes minimum consumption and maximum SAV production. </w:t>
      </w:r>
    </w:p>
    <w:p w14:paraId="52E87496" w14:textId="77777777" w:rsidR="004C04DB" w:rsidRDefault="004C04DB" w:rsidP="00FA25DD"/>
    <w:p w14:paraId="02541131" w14:textId="3CE77B6F" w:rsidR="002B0E3F" w:rsidRDefault="004C04DB" w:rsidP="00FA25DD">
      <w:r>
        <w:t>So the obvious question becomes</w:t>
      </w:r>
      <w:r w:rsidR="00273208">
        <w:t>:  W</w:t>
      </w:r>
      <w:r>
        <w:t>hat is a realistic value for Carrying Capacity and or Optimum Sust</w:t>
      </w:r>
      <w:r w:rsidR="00273208">
        <w:t>ainable Population?</w:t>
      </w:r>
      <w:r>
        <w:t xml:space="preserve">  </w:t>
      </w:r>
      <w:r w:rsidR="002B0E3F">
        <w:t>Without access to the Monte Carlo model employed by the IHA study, CFFW chose to</w:t>
      </w:r>
      <w:r>
        <w:t xml:space="preserve"> select </w:t>
      </w:r>
      <w:r w:rsidR="002B0E3F">
        <w:t>a set of reasonably supportable values for SAV consumption and IRL SAV production and determine the results based on these values.</w:t>
      </w:r>
    </w:p>
    <w:p w14:paraId="7BBE4DED" w14:textId="77777777" w:rsidR="002B0E3F" w:rsidRDefault="002B0E3F" w:rsidP="00FA25DD"/>
    <w:p w14:paraId="37ADDF32" w14:textId="77777777" w:rsidR="002B0E3F" w:rsidRDefault="002B0E3F" w:rsidP="00FA25DD">
      <w:r>
        <w:t xml:space="preserve">We chose the </w:t>
      </w:r>
      <w:r w:rsidR="004C04DB">
        <w:t xml:space="preserve">midpoint of the 42-94lb </w:t>
      </w:r>
      <w:r>
        <w:t xml:space="preserve">range used for </w:t>
      </w:r>
      <w:r w:rsidR="004C04DB">
        <w:t xml:space="preserve">consumption rate per day – 68 lbs.  One </w:t>
      </w:r>
      <w:r w:rsidR="00273208">
        <w:t>must</w:t>
      </w:r>
      <w:r w:rsidR="004C04DB">
        <w:t xml:space="preserve"> </w:t>
      </w:r>
      <w:r w:rsidR="00273208">
        <w:t>to be skeptical of the 10-</w:t>
      </w:r>
      <w:r w:rsidR="004C04DB">
        <w:t xml:space="preserve">fold range of values </w:t>
      </w:r>
      <w:r>
        <w:t>provided by FWC for SAV</w:t>
      </w:r>
      <w:r w:rsidR="004C04DB">
        <w:t xml:space="preserve"> production</w:t>
      </w:r>
      <w:r>
        <w:t>.  These rates</w:t>
      </w:r>
      <w:r w:rsidR="004C04DB">
        <w:t xml:space="preserve"> </w:t>
      </w:r>
      <w:r>
        <w:t>range</w:t>
      </w:r>
      <w:r w:rsidR="004C04DB">
        <w:t xml:space="preserve"> from 1,446</w:t>
      </w:r>
      <w:r>
        <w:t xml:space="preserve"> (SJRWMD)</w:t>
      </w:r>
      <w:r w:rsidR="004C04DB">
        <w:t xml:space="preserve"> to 14,500lbs </w:t>
      </w:r>
      <w:r>
        <w:t xml:space="preserve">(IHA study max) </w:t>
      </w:r>
      <w:r w:rsidR="004C04DB">
        <w:t xml:space="preserve">per acre.  </w:t>
      </w:r>
      <w:r>
        <w:t>Clearly there</w:t>
      </w:r>
      <w:r w:rsidR="004C04DB">
        <w:t xml:space="preserve"> is opportunity for some </w:t>
      </w:r>
      <w:r>
        <w:t>future</w:t>
      </w:r>
      <w:r w:rsidR="004C04DB">
        <w:t xml:space="preserve"> analysis, but if one were to use the Short, et al estimate of 6,200lbs per acre, that would be 4 times the SJRWMD estimate of 1,446 and nearly half the IHA / </w:t>
      </w:r>
      <w:proofErr w:type="spellStart"/>
      <w:r w:rsidR="004C04DB">
        <w:t>Provancha</w:t>
      </w:r>
      <w:proofErr w:type="spellEnd"/>
      <w:r w:rsidR="004C04DB">
        <w:t xml:space="preserve"> maximum of 14,500.</w:t>
      </w:r>
      <w:r>
        <w:t xml:space="preserve">  So we chose 6,200 </w:t>
      </w:r>
      <w:proofErr w:type="spellStart"/>
      <w:r>
        <w:t>lbs</w:t>
      </w:r>
      <w:proofErr w:type="spellEnd"/>
      <w:r>
        <w:t xml:space="preserve"> /acre for our test case value.</w:t>
      </w:r>
    </w:p>
    <w:p w14:paraId="6B6335A6" w14:textId="77777777" w:rsidR="002B0E3F" w:rsidRDefault="002B0E3F" w:rsidP="00FA25DD"/>
    <w:p w14:paraId="77298B13" w14:textId="580E0003" w:rsidR="004C04DB" w:rsidRDefault="004C04DB" w:rsidP="00FA25DD">
      <w:r>
        <w:t>The resulting numbers would be as follows:</w:t>
      </w:r>
    </w:p>
    <w:p w14:paraId="0BB5573B" w14:textId="0237E937" w:rsidR="004C04DB" w:rsidRDefault="004C04DB" w:rsidP="00FA25DD">
      <w:r>
        <w:tab/>
        <w:t>Consumption:</w:t>
      </w:r>
      <w:r>
        <w:tab/>
      </w:r>
      <w:r>
        <w:tab/>
        <w:t>24,800lbs seagrass / year / manatee</w:t>
      </w:r>
    </w:p>
    <w:p w14:paraId="59D90528" w14:textId="68E3BE41" w:rsidR="004C04DB" w:rsidRDefault="004C04DB" w:rsidP="00FA25DD">
      <w:r>
        <w:tab/>
        <w:t>Production:</w:t>
      </w:r>
      <w:r>
        <w:tab/>
      </w:r>
      <w:r>
        <w:tab/>
        <w:t xml:space="preserve">  6,200lbs seagrass / acre / year</w:t>
      </w:r>
    </w:p>
    <w:p w14:paraId="35FA92EF" w14:textId="107C52A8" w:rsidR="004C04DB" w:rsidRDefault="004C04DB" w:rsidP="00FA25DD">
      <w:r>
        <w:lastRenderedPageBreak/>
        <w:tab/>
      </w:r>
    </w:p>
    <w:p w14:paraId="0406B5E2" w14:textId="44C50569" w:rsidR="004C04DB" w:rsidRDefault="004C04DB" w:rsidP="00FA25DD">
      <w:r>
        <w:tab/>
      </w:r>
      <w:r w:rsidR="008741C0">
        <w:t xml:space="preserve">This equates to </w:t>
      </w:r>
      <w:r>
        <w:t xml:space="preserve">4.0 acres of </w:t>
      </w:r>
      <w:r w:rsidR="00AA093F">
        <w:t>SAV</w:t>
      </w:r>
      <w:r>
        <w:t xml:space="preserve"> for 1 manatee to survive 1 year</w:t>
      </w:r>
    </w:p>
    <w:p w14:paraId="0C7BA950" w14:textId="1E2E1CF9" w:rsidR="004C04DB" w:rsidRDefault="004C04DB" w:rsidP="00FA25DD">
      <w:r>
        <w:tab/>
        <w:t>16 acres for sustained survival of 1 manatee (4 year regrowth estimate)</w:t>
      </w:r>
    </w:p>
    <w:p w14:paraId="4C66C8B1" w14:textId="7E781ABC" w:rsidR="004C04DB" w:rsidRDefault="004C04DB" w:rsidP="00FA25DD">
      <w:r>
        <w:tab/>
        <w:t xml:space="preserve">32 acres </w:t>
      </w:r>
      <w:r w:rsidR="004E5DF9">
        <w:t>for</w:t>
      </w:r>
      <w:r>
        <w:t xml:space="preserve"> sustained health</w:t>
      </w:r>
      <w:r w:rsidR="004E5DF9">
        <w:t xml:space="preserve"> of 1 manatee </w:t>
      </w:r>
      <w:r w:rsidR="00AA093F">
        <w:t xml:space="preserve">without detriment to the IRL </w:t>
      </w:r>
    </w:p>
    <w:p w14:paraId="6541CEDC" w14:textId="77777777" w:rsidR="004E5DF9" w:rsidRDefault="004E5DF9" w:rsidP="00FA25DD"/>
    <w:p w14:paraId="143CD05F" w14:textId="1DB7838C" w:rsidR="00972A3C" w:rsidRPr="00972A3C" w:rsidRDefault="00972A3C" w:rsidP="00AA093F">
      <w:pPr>
        <w:ind w:left="720"/>
      </w:pPr>
      <w:r w:rsidRPr="00972A3C">
        <w:t>based on these values and the estimated 41,000 acres of SAV,</w:t>
      </w:r>
    </w:p>
    <w:p w14:paraId="28A9BA6B" w14:textId="03B1C906" w:rsidR="004E5DF9" w:rsidRDefault="008741C0" w:rsidP="00AA093F">
      <w:pPr>
        <w:ind w:left="720"/>
      </w:pPr>
      <w:r w:rsidRPr="008741C0">
        <w:rPr>
          <w:b/>
        </w:rPr>
        <w:t xml:space="preserve">The IRL </w:t>
      </w:r>
      <w:r w:rsidR="004E5DF9" w:rsidRPr="008741C0">
        <w:rPr>
          <w:b/>
        </w:rPr>
        <w:t>can sustain 1280 manatees and remain viable</w:t>
      </w:r>
      <w:r w:rsidRPr="008741C0">
        <w:rPr>
          <w:b/>
        </w:rPr>
        <w:t xml:space="preserve"> (OSP)</w:t>
      </w:r>
    </w:p>
    <w:p w14:paraId="7892E12B" w14:textId="77777777" w:rsidR="00975AE0" w:rsidRDefault="00975AE0" w:rsidP="00FA25DD"/>
    <w:p w14:paraId="31FEE658" w14:textId="6A9976E7" w:rsidR="004E5DF9" w:rsidRDefault="008741C0" w:rsidP="00FA25DD">
      <w:r>
        <w:t>This is very</w:t>
      </w:r>
      <w:r w:rsidR="004E5DF9">
        <w:t xml:space="preserve"> consistent with the</w:t>
      </w:r>
      <w:r>
        <w:t xml:space="preserve"> results of</w:t>
      </w:r>
      <w:r w:rsidR="004E5DF9">
        <w:t xml:space="preserve"> IHA Study </w:t>
      </w:r>
      <w:r>
        <w:t>50 percentile value of 992</w:t>
      </w:r>
      <w:r w:rsidR="004E5DF9">
        <w:t xml:space="preserve"> for the southern and central areas of the IRL. </w:t>
      </w:r>
    </w:p>
    <w:p w14:paraId="59B16B59" w14:textId="77777777" w:rsidR="004E5DF9" w:rsidRDefault="004E5DF9" w:rsidP="00FA25DD"/>
    <w:p w14:paraId="56798E05" w14:textId="71F9314E" w:rsidR="00972A3C" w:rsidRDefault="00AA093F" w:rsidP="00FA25DD">
      <w:r>
        <w:t>The</w:t>
      </w:r>
      <w:r w:rsidR="004E5DF9">
        <w:t xml:space="preserve"> 2012-13 Brevard County manatee counts performed by FPL averaged 963 animals with a </w:t>
      </w:r>
      <w:r w:rsidR="00C4386A">
        <w:t xml:space="preserve">high count of 1719 manatees.  </w:t>
      </w:r>
      <w:r w:rsidR="004E5DF9">
        <w:t>The</w:t>
      </w:r>
      <w:r w:rsidR="00C4386A">
        <w:t xml:space="preserve"> 2013-1</w:t>
      </w:r>
      <w:r w:rsidR="004E5DF9">
        <w:t xml:space="preserve">4 FPL </w:t>
      </w:r>
      <w:r w:rsidR="00C4386A">
        <w:t xml:space="preserve">counts </w:t>
      </w:r>
      <w:r w:rsidR="004E5DF9">
        <w:t>average</w:t>
      </w:r>
      <w:r w:rsidR="00C4386A">
        <w:t xml:space="preserve">d 1392 animals with </w:t>
      </w:r>
      <w:r w:rsidR="00972A3C">
        <w:t xml:space="preserve">a high count of 1966 manatees. </w:t>
      </w:r>
    </w:p>
    <w:p w14:paraId="0BBC530E" w14:textId="77777777" w:rsidR="00972A3C" w:rsidRDefault="00972A3C" w:rsidP="00FA25DD"/>
    <w:p w14:paraId="4E8FD25A" w14:textId="2E83DCC6" w:rsidR="00AA093F" w:rsidRDefault="008741C0" w:rsidP="00FA25DD">
      <w:r>
        <w:t>SJRWMD estimated</w:t>
      </w:r>
      <w:r w:rsidR="00AA093F">
        <w:t xml:space="preserve"> t</w:t>
      </w:r>
      <w:r w:rsidR="00C4386A">
        <w:t xml:space="preserve">he 41,000 acres of </w:t>
      </w:r>
      <w:r w:rsidR="00972A3C">
        <w:t>SAV</w:t>
      </w:r>
      <w:r w:rsidR="00C4386A">
        <w:t xml:space="preserve"> remaining in 2011 decreased to 25,000 acres in 2012.  </w:t>
      </w:r>
      <w:r w:rsidR="00972A3C">
        <w:t>SAV estimates for 2013 are not available at this time.  SJRWMD indicated that they will not be available until late August or early September 2014.</w:t>
      </w:r>
    </w:p>
    <w:p w14:paraId="693864BF" w14:textId="77777777" w:rsidR="00AA093F" w:rsidRDefault="00AA093F" w:rsidP="00FA25DD"/>
    <w:p w14:paraId="2E807D49" w14:textId="13B9511A" w:rsidR="00C4386A" w:rsidRDefault="008741C0" w:rsidP="00FA25DD">
      <w:r>
        <w:t xml:space="preserve">Clearly, these two independent analysis of CC and OSP indicate that the current observed conditions in the IRL with respect to </w:t>
      </w:r>
      <w:proofErr w:type="gramStart"/>
      <w:r>
        <w:t>manatees</w:t>
      </w:r>
      <w:proofErr w:type="gramEnd"/>
      <w:r>
        <w:t xml:space="preserve"> resident and available SAV are converging rapidly to and potentially beyond the local area manatee OSP</w:t>
      </w:r>
      <w:r w:rsidR="00972A3C">
        <w:t xml:space="preserve">. </w:t>
      </w:r>
    </w:p>
    <w:p w14:paraId="1C78E703" w14:textId="77777777" w:rsidR="00C4386A" w:rsidRDefault="00C4386A" w:rsidP="00FA25DD"/>
    <w:p w14:paraId="0A5D6DA3" w14:textId="267BF939" w:rsidR="00FA25DD" w:rsidRDefault="00FA25DD" w:rsidP="00FA25DD">
      <w:r>
        <w:t>Since</w:t>
      </w:r>
      <w:r w:rsidR="004E5827">
        <w:t xml:space="preserve"> the species has exhibited a 40-</w:t>
      </w:r>
      <w:r>
        <w:t>year</w:t>
      </w:r>
      <w:r w:rsidR="00057854">
        <w:t xml:space="preserve"> history </w:t>
      </w:r>
      <w:r w:rsidR="004E5827">
        <w:t xml:space="preserve">of </w:t>
      </w:r>
      <w:r w:rsidR="00057854">
        <w:t xml:space="preserve">population growth and resilience to all threats, there are no natural or manmade factors that can be cited that could affect the species continued </w:t>
      </w:r>
      <w:r w:rsidR="00972A3C">
        <w:t>growth</w:t>
      </w:r>
      <w:r w:rsidR="00057854">
        <w:t xml:space="preserve">.  Moreover, one can only reasonably expect the population to increase to the limits of the collective carrying capacity </w:t>
      </w:r>
      <w:r w:rsidR="00C4386A">
        <w:t xml:space="preserve">to the detriment </w:t>
      </w:r>
      <w:r w:rsidR="009207B1">
        <w:t xml:space="preserve">and potential destruction </w:t>
      </w:r>
      <w:r w:rsidR="00C4386A">
        <w:t xml:space="preserve">of the </w:t>
      </w:r>
      <w:r w:rsidR="00057854">
        <w:t>habitat</w:t>
      </w:r>
      <w:r w:rsidR="00C4386A">
        <w:t xml:space="preserve"> itself</w:t>
      </w:r>
      <w:r w:rsidR="00057854">
        <w:t>.</w:t>
      </w:r>
    </w:p>
    <w:p w14:paraId="337DEC19" w14:textId="77777777" w:rsidR="00AA093F" w:rsidRDefault="00AA093F" w:rsidP="00FA25DD"/>
    <w:p w14:paraId="3D63D103" w14:textId="181AAAD7" w:rsidR="00972A3C" w:rsidRDefault="00AA093F" w:rsidP="00FA25DD">
      <w:r>
        <w:t xml:space="preserve">The conclusion is clear.  We are closer to the </w:t>
      </w:r>
      <w:r w:rsidR="00972A3C">
        <w:t>OSP</w:t>
      </w:r>
      <w:r>
        <w:t xml:space="preserve"> in the IRL than we previously believed.  If we do nothing to manage this local area population, we risk allowing the IRL </w:t>
      </w:r>
      <w:r w:rsidR="007655BE">
        <w:t xml:space="preserve">SAV </w:t>
      </w:r>
      <w:r>
        <w:t xml:space="preserve">to decline to levels that no one wants to imagine.  If we do not reclassify the manatee from </w:t>
      </w:r>
      <w:r w:rsidR="00972A3C">
        <w:rPr>
          <w:i/>
        </w:rPr>
        <w:t>Endangered</w:t>
      </w:r>
      <w:r>
        <w:t xml:space="preserve"> to </w:t>
      </w:r>
      <w:r w:rsidR="00972A3C">
        <w:rPr>
          <w:i/>
        </w:rPr>
        <w:t>Recovered</w:t>
      </w:r>
      <w:r>
        <w:t xml:space="preserve">, we are trapped by the MMPA and the ESA to continue to implement policies and regulations that have one singular goal – </w:t>
      </w:r>
      <w:r w:rsidR="00D7739F">
        <w:t>“</w:t>
      </w:r>
      <w:r>
        <w:t>More is Better</w:t>
      </w:r>
      <w:r w:rsidR="00D7739F">
        <w:t>”</w:t>
      </w:r>
      <w:r w:rsidR="007655BE">
        <w:t xml:space="preserve">.  </w:t>
      </w:r>
      <w:r>
        <w:t xml:space="preserve">The IRL </w:t>
      </w:r>
      <w:r w:rsidR="00D7739F">
        <w:t>can</w:t>
      </w:r>
      <w:r>
        <w:t>not survive this management approach indefinitely.</w:t>
      </w:r>
      <w:r w:rsidR="00972A3C">
        <w:t xml:space="preserve">  As the IRL </w:t>
      </w:r>
      <w:r w:rsidR="007655BE">
        <w:t xml:space="preserve">SAV </w:t>
      </w:r>
      <w:r w:rsidR="00972A3C">
        <w:t>goes</w:t>
      </w:r>
      <w:r w:rsidR="007655BE">
        <w:t>,</w:t>
      </w:r>
      <w:r w:rsidR="00972A3C">
        <w:t xml:space="preserve"> so goes the local manatee population and the habitat of all the other species that claim</w:t>
      </w:r>
      <w:r w:rsidR="007655BE">
        <w:t xml:space="preserve"> the SAV for habitat during a portion of their life-cycle. </w:t>
      </w:r>
    </w:p>
    <w:p w14:paraId="5218C7E1" w14:textId="77777777" w:rsidR="007655BE" w:rsidRDefault="007655BE" w:rsidP="00FA25DD"/>
    <w:p w14:paraId="41F2D007" w14:textId="441DE22B" w:rsidR="000311DC" w:rsidRDefault="000311DC" w:rsidP="000311DC">
      <w:r>
        <w:t xml:space="preserve">We find ourselves facing a paradox similar to the one identified by the USFWS in the again in 2006 when considering the Upper St Johns manatee subpopulation.  That is the very real possibility of the species subpopulation reaching OSP before it is classified as </w:t>
      </w:r>
      <w:r w:rsidRPr="000311DC">
        <w:rPr>
          <w:i/>
        </w:rPr>
        <w:t>Recovered</w:t>
      </w:r>
      <w:r>
        <w:t xml:space="preserve">.  Now we see this very real possibility for a critical percentage of the Atlantic subpopulation.  If this happens the manatee mangers will not be able to meet the criteria for </w:t>
      </w:r>
      <w:r w:rsidRPr="000311DC">
        <w:rPr>
          <w:i/>
        </w:rPr>
        <w:t>Recovery</w:t>
      </w:r>
      <w:r>
        <w:t xml:space="preserve"> because the population will not be growing at a fast enough pace.</w:t>
      </w:r>
    </w:p>
    <w:p w14:paraId="1B23806D" w14:textId="77777777" w:rsidR="000311DC" w:rsidRDefault="000311DC" w:rsidP="000311DC"/>
    <w:p w14:paraId="1BB8F169" w14:textId="4693EF3F" w:rsidR="007655BE" w:rsidRDefault="000311DC" w:rsidP="00FA25DD">
      <w:r>
        <w:lastRenderedPageBreak/>
        <w:t xml:space="preserve">A different paradox arises from the circular argument that reductions in SAV mean reductions in habitat which implies continued classification as </w:t>
      </w:r>
      <w:r w:rsidRPr="000311DC">
        <w:rPr>
          <w:i/>
        </w:rPr>
        <w:t>Endangered</w:t>
      </w:r>
      <w:r>
        <w:t xml:space="preserve"> which is implies a depleted population which demands population growth measures </w:t>
      </w:r>
      <w:proofErr w:type="spellStart"/>
      <w:r>
        <w:t>fo</w:t>
      </w:r>
      <w:proofErr w:type="spellEnd"/>
      <w:r>
        <w:t xml:space="preserve"> manatee management, which continues to pressure the SAV and further reduce the habitat - and so on.  R</w:t>
      </w:r>
      <w:r w:rsidR="007655BE">
        <w:t xml:space="preserve">eclassification to </w:t>
      </w:r>
      <w:r w:rsidR="007655BE" w:rsidRPr="007655BE">
        <w:rPr>
          <w:i/>
        </w:rPr>
        <w:t>Threatened</w:t>
      </w:r>
      <w:r w:rsidR="007655BE">
        <w:t xml:space="preserve"> is a step in the right direction, but reclassification to </w:t>
      </w:r>
      <w:r w:rsidR="007655BE" w:rsidRPr="007655BE">
        <w:rPr>
          <w:i/>
        </w:rPr>
        <w:t>Recovered</w:t>
      </w:r>
      <w:r w:rsidR="007655BE">
        <w:t xml:space="preserve"> needs to follow in the near term so that proper management approaches can be implemented that favor the IRL ecosystem </w:t>
      </w:r>
      <w:r>
        <w:t xml:space="preserve">specifically and the overall habitat in general </w:t>
      </w:r>
      <w:r w:rsidR="007655BE">
        <w:t>above and beyond that of a singular species.</w:t>
      </w:r>
    </w:p>
    <w:p w14:paraId="275F857C" w14:textId="77777777" w:rsidR="000311DC" w:rsidRDefault="000311DC" w:rsidP="00FA25DD"/>
    <w:p w14:paraId="2E5F3431" w14:textId="77777777" w:rsidR="00730020" w:rsidRPr="00730020" w:rsidRDefault="00730020" w:rsidP="00730020">
      <w:pPr>
        <w:ind w:left="540" w:hanging="360"/>
      </w:pPr>
    </w:p>
    <w:sectPr w:rsidR="00730020" w:rsidRPr="00730020" w:rsidSect="00A7716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20"/>
    <w:rsid w:val="00006A50"/>
    <w:rsid w:val="000111E0"/>
    <w:rsid w:val="00015B89"/>
    <w:rsid w:val="000271C4"/>
    <w:rsid w:val="000311DC"/>
    <w:rsid w:val="000451F1"/>
    <w:rsid w:val="00057854"/>
    <w:rsid w:val="00087431"/>
    <w:rsid w:val="000C42EF"/>
    <w:rsid w:val="000E5EF1"/>
    <w:rsid w:val="00105619"/>
    <w:rsid w:val="001529C3"/>
    <w:rsid w:val="001552CD"/>
    <w:rsid w:val="001C51AF"/>
    <w:rsid w:val="001E3C4A"/>
    <w:rsid w:val="002065F9"/>
    <w:rsid w:val="00246E58"/>
    <w:rsid w:val="00272C2F"/>
    <w:rsid w:val="00273208"/>
    <w:rsid w:val="002B0BE1"/>
    <w:rsid w:val="002B0E3F"/>
    <w:rsid w:val="002B3628"/>
    <w:rsid w:val="002E1160"/>
    <w:rsid w:val="002F2FC3"/>
    <w:rsid w:val="00317AAE"/>
    <w:rsid w:val="0034521E"/>
    <w:rsid w:val="00352483"/>
    <w:rsid w:val="00363354"/>
    <w:rsid w:val="003917EB"/>
    <w:rsid w:val="003B2B43"/>
    <w:rsid w:val="003C7B05"/>
    <w:rsid w:val="003F65F8"/>
    <w:rsid w:val="004225A3"/>
    <w:rsid w:val="00466DAD"/>
    <w:rsid w:val="0048699E"/>
    <w:rsid w:val="004A1320"/>
    <w:rsid w:val="004A23B9"/>
    <w:rsid w:val="004C04DB"/>
    <w:rsid w:val="004E4221"/>
    <w:rsid w:val="004E5827"/>
    <w:rsid w:val="004E5DF9"/>
    <w:rsid w:val="004E68A4"/>
    <w:rsid w:val="004F0727"/>
    <w:rsid w:val="004F40C5"/>
    <w:rsid w:val="004F7616"/>
    <w:rsid w:val="00592DB6"/>
    <w:rsid w:val="005C4746"/>
    <w:rsid w:val="005D1BDA"/>
    <w:rsid w:val="005E5615"/>
    <w:rsid w:val="006015A7"/>
    <w:rsid w:val="0062132C"/>
    <w:rsid w:val="00635187"/>
    <w:rsid w:val="006636C9"/>
    <w:rsid w:val="006B4481"/>
    <w:rsid w:val="006D4EAE"/>
    <w:rsid w:val="00715A49"/>
    <w:rsid w:val="00720E0C"/>
    <w:rsid w:val="0072359F"/>
    <w:rsid w:val="00730020"/>
    <w:rsid w:val="00734E75"/>
    <w:rsid w:val="007609DA"/>
    <w:rsid w:val="007655BE"/>
    <w:rsid w:val="00765E58"/>
    <w:rsid w:val="007A74DD"/>
    <w:rsid w:val="007B55EE"/>
    <w:rsid w:val="007C35C2"/>
    <w:rsid w:val="007C39CF"/>
    <w:rsid w:val="007F7A62"/>
    <w:rsid w:val="00833299"/>
    <w:rsid w:val="00866D1A"/>
    <w:rsid w:val="00867628"/>
    <w:rsid w:val="008741C0"/>
    <w:rsid w:val="00895B91"/>
    <w:rsid w:val="008A35B0"/>
    <w:rsid w:val="008E2CD5"/>
    <w:rsid w:val="008F1A1E"/>
    <w:rsid w:val="008F5135"/>
    <w:rsid w:val="009207B1"/>
    <w:rsid w:val="009342E8"/>
    <w:rsid w:val="00946716"/>
    <w:rsid w:val="009575FD"/>
    <w:rsid w:val="00962141"/>
    <w:rsid w:val="00972A3C"/>
    <w:rsid w:val="00975AE0"/>
    <w:rsid w:val="009F2CB0"/>
    <w:rsid w:val="009F7BC4"/>
    <w:rsid w:val="00A01127"/>
    <w:rsid w:val="00A14A92"/>
    <w:rsid w:val="00A37839"/>
    <w:rsid w:val="00A61FE6"/>
    <w:rsid w:val="00A77166"/>
    <w:rsid w:val="00A978FC"/>
    <w:rsid w:val="00AA093F"/>
    <w:rsid w:val="00AB121E"/>
    <w:rsid w:val="00B50BC1"/>
    <w:rsid w:val="00B57929"/>
    <w:rsid w:val="00B74FEA"/>
    <w:rsid w:val="00BA35A6"/>
    <w:rsid w:val="00BD7301"/>
    <w:rsid w:val="00BE2696"/>
    <w:rsid w:val="00C01297"/>
    <w:rsid w:val="00C31F01"/>
    <w:rsid w:val="00C3418A"/>
    <w:rsid w:val="00C34971"/>
    <w:rsid w:val="00C4271B"/>
    <w:rsid w:val="00C4386A"/>
    <w:rsid w:val="00C91192"/>
    <w:rsid w:val="00CA6214"/>
    <w:rsid w:val="00D01A0A"/>
    <w:rsid w:val="00D64DBE"/>
    <w:rsid w:val="00D763D7"/>
    <w:rsid w:val="00D7739F"/>
    <w:rsid w:val="00D82720"/>
    <w:rsid w:val="00DF2286"/>
    <w:rsid w:val="00E05E86"/>
    <w:rsid w:val="00E143AE"/>
    <w:rsid w:val="00E31F52"/>
    <w:rsid w:val="00E36EBD"/>
    <w:rsid w:val="00E426E9"/>
    <w:rsid w:val="00E54D7A"/>
    <w:rsid w:val="00E97C8C"/>
    <w:rsid w:val="00EA2F3E"/>
    <w:rsid w:val="00EA3546"/>
    <w:rsid w:val="00EA5362"/>
    <w:rsid w:val="00EA7770"/>
    <w:rsid w:val="00EB0C38"/>
    <w:rsid w:val="00EB5F96"/>
    <w:rsid w:val="00EC7FDF"/>
    <w:rsid w:val="00EE2551"/>
    <w:rsid w:val="00EE27C7"/>
    <w:rsid w:val="00F02B31"/>
    <w:rsid w:val="00F13A12"/>
    <w:rsid w:val="00F33AED"/>
    <w:rsid w:val="00F4371C"/>
    <w:rsid w:val="00F933CB"/>
    <w:rsid w:val="00F954EB"/>
    <w:rsid w:val="00FA25DD"/>
    <w:rsid w:val="00FC01E8"/>
    <w:rsid w:val="00FC780D"/>
    <w:rsid w:val="00FD7B91"/>
    <w:rsid w:val="00FE2EA1"/>
    <w:rsid w:val="00FF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337"/>
  <w14:defaultImageDpi w14:val="300"/>
  <w15:docId w15:val="{F50478B5-F3B7-436D-8303-26EF7BA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1C"/>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B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0C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B0C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4E42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5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8F51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96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75CD-FC26-4A1E-A71B-C7DE8B18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14</Pages>
  <Words>4625</Words>
  <Characters>26364</Characters>
  <Application>Microsoft Office Word</Application>
  <DocSecurity>0</DocSecurity>
  <Lines>219</Lines>
  <Paragraphs>61</Paragraphs>
  <ScaleCrop>false</ScaleCrop>
  <Company>Atkins Family</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Atkins</dc:creator>
  <cp:keywords/>
  <dc:description/>
  <cp:lastModifiedBy>John Good</cp:lastModifiedBy>
  <cp:revision>19</cp:revision>
  <cp:lastPrinted>2014-08-11T15:07:00Z</cp:lastPrinted>
  <dcterms:created xsi:type="dcterms:W3CDTF">2014-08-11T17:17:00Z</dcterms:created>
  <dcterms:modified xsi:type="dcterms:W3CDTF">2016-04-01T13:45:00Z</dcterms:modified>
</cp:coreProperties>
</file>